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76C" w:rsidRDefault="00B0676C"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B0676C" w:rsidRDefault="00B0676C"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2015/830/EU és a 1272/2008/EK rendelet szerint</w:t>
      </w:r>
    </w:p>
    <w:p w:rsidR="00B0676C" w:rsidRDefault="00B0676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B0676C" w:rsidRDefault="00B0676C" w:rsidP="001610D0">
      <w:pPr>
        <w:tabs>
          <w:tab w:val="left" w:pos="2410"/>
          <w:tab w:val="center" w:pos="4962"/>
        </w:tabs>
        <w:spacing w:before="40"/>
        <w:ind w:right="204"/>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HOSPI Sept kézfertőtlenítő szappan</w:t>
      </w:r>
    </w:p>
    <w:p w:rsidR="00B0676C" w:rsidRDefault="00B0676C" w:rsidP="009646CA">
      <w:pPr>
        <w:tabs>
          <w:tab w:val="left" w:pos="3119"/>
          <w:tab w:val="center" w:pos="4536"/>
        </w:tabs>
        <w:spacing w:before="80"/>
        <w:ind w:right="204"/>
        <w:jc w:val="both"/>
        <w:rPr>
          <w:rFonts w:ascii="Tahoma" w:hAnsi="Tahoma" w:cs="Tahoma"/>
          <w:snapToGrid w:val="0"/>
        </w:rPr>
      </w:pPr>
      <w:r w:rsidRPr="00681260">
        <w:rPr>
          <w:rFonts w:ascii="Tahoma" w:hAnsi="Tahoma" w:cs="Tahoma"/>
          <w:b/>
          <w:bCs/>
          <w:snapToGrid w:val="0"/>
        </w:rPr>
        <w:t>1.2. Azonosított felhasználás:</w:t>
      </w:r>
      <w:r>
        <w:rPr>
          <w:rFonts w:ascii="Tahoma" w:hAnsi="Tahoma" w:cs="Tahoma"/>
          <w:b/>
          <w:bCs/>
          <w:snapToGrid w:val="0"/>
        </w:rPr>
        <w:t xml:space="preserve"> </w:t>
      </w:r>
      <w:r w:rsidRPr="000E1DD2">
        <w:rPr>
          <w:rFonts w:ascii="Tahoma" w:hAnsi="Tahoma" w:cs="Tahoma"/>
          <w:snapToGrid w:val="0"/>
        </w:rPr>
        <w:t xml:space="preserve">kombinált hatású </w:t>
      </w:r>
      <w:r>
        <w:rPr>
          <w:rFonts w:ascii="Tahoma" w:hAnsi="Tahoma" w:cs="Tahoma"/>
          <w:snapToGrid w:val="0"/>
        </w:rPr>
        <w:t>k</w:t>
      </w:r>
      <w:r w:rsidRPr="00256E63">
        <w:rPr>
          <w:rFonts w:ascii="Tahoma" w:hAnsi="Tahoma" w:cs="Tahoma"/>
          <w:snapToGrid w:val="0"/>
        </w:rPr>
        <w:t>éz</w:t>
      </w:r>
      <w:r w:rsidRPr="00681260">
        <w:rPr>
          <w:rFonts w:ascii="Tahoma" w:hAnsi="Tahoma" w:cs="Tahoma"/>
          <w:snapToGrid w:val="0"/>
        </w:rPr>
        <w:t>fertőtlenítő</w:t>
      </w:r>
      <w:r>
        <w:rPr>
          <w:rFonts w:ascii="Tahoma" w:hAnsi="Tahoma" w:cs="Tahoma"/>
          <w:snapToGrid w:val="0"/>
        </w:rPr>
        <w:t xml:space="preserve"> szer, tisztít és fertőtlenít</w:t>
      </w:r>
    </w:p>
    <w:p w:rsidR="00B0676C" w:rsidRDefault="00B0676C" w:rsidP="007E27A7">
      <w:pPr>
        <w:tabs>
          <w:tab w:val="left" w:pos="3119"/>
          <w:tab w:val="center" w:pos="4536"/>
        </w:tabs>
        <w:ind w:right="204" w:firstLine="425"/>
        <w:jc w:val="both"/>
        <w:rPr>
          <w:rFonts w:ascii="Tahoma" w:hAnsi="Tahoma" w:cs="Tahoma"/>
          <w:snapToGrid w:val="0"/>
        </w:rPr>
      </w:pPr>
      <w:r>
        <w:rPr>
          <w:rFonts w:ascii="Tahoma" w:hAnsi="Tahoma" w:cs="Tahoma"/>
          <w:snapToGrid w:val="0"/>
        </w:rPr>
        <w:t>Humán-egészségügyi biocid termék, 1. terméktípus, foglalkozásszerű, lakossági felhasználásra</w:t>
      </w:r>
    </w:p>
    <w:p w:rsidR="00B0676C" w:rsidRDefault="00B0676C" w:rsidP="005F5BBC">
      <w:pPr>
        <w:tabs>
          <w:tab w:val="left" w:pos="3119"/>
          <w:tab w:val="center" w:pos="4536"/>
        </w:tabs>
        <w:ind w:left="425" w:right="204" w:firstLine="1"/>
        <w:jc w:val="both"/>
        <w:rPr>
          <w:rFonts w:ascii="Tahoma" w:hAnsi="Tahoma" w:cs="Tahoma"/>
          <w:snapToGrid w:val="0"/>
        </w:rPr>
      </w:pPr>
      <w:r>
        <w:rPr>
          <w:rFonts w:ascii="Tahoma" w:hAnsi="Tahoma" w:cs="Tahoma"/>
          <w:snapToGrid w:val="0"/>
        </w:rPr>
        <w:t>Antimikrobiális spektrum: baktericid (MRSA), fungicid,  szelektív virucid (burkos vírusokra), tuberkulocid</w:t>
      </w:r>
    </w:p>
    <w:p w:rsidR="00B0676C" w:rsidRPr="00D35627" w:rsidRDefault="00B0676C" w:rsidP="000E1DD2">
      <w:pPr>
        <w:tabs>
          <w:tab w:val="left" w:pos="1276"/>
        </w:tabs>
        <w:spacing w:before="60"/>
        <w:jc w:val="both"/>
        <w:rPr>
          <w:rFonts w:ascii="Tahoma" w:hAnsi="Tahoma" w:cs="Tahoma"/>
          <w:b/>
          <w:bCs/>
        </w:rPr>
      </w:pPr>
      <w:r w:rsidRPr="00062B16">
        <w:rPr>
          <w:rFonts w:ascii="Tahoma" w:hAnsi="Tahoma" w:cs="Tahoma"/>
          <w:snapToGrid w:val="0"/>
        </w:rPr>
        <w:t>A termék hatóanyaga:</w:t>
      </w:r>
      <w:r>
        <w:rPr>
          <w:rFonts w:ascii="Tahoma" w:hAnsi="Tahoma" w:cs="Tahoma"/>
          <w:snapToGrid w:val="0"/>
        </w:rPr>
        <w:t xml:space="preserve"> a didecil-dimetil-amm</w:t>
      </w:r>
      <w:r w:rsidRPr="00062B16">
        <w:rPr>
          <w:rFonts w:ascii="Tahoma" w:hAnsi="Tahoma" w:cs="Tahoma"/>
          <w:snapToGrid w:val="0"/>
        </w:rPr>
        <w:t>ónium-klorid</w:t>
      </w:r>
      <w:r>
        <w:rPr>
          <w:rFonts w:ascii="Tahoma" w:hAnsi="Tahoma" w:cs="Tahoma"/>
          <w:snapToGrid w:val="0"/>
        </w:rPr>
        <w:t xml:space="preserve"> (DDAC) </w:t>
      </w:r>
      <w:r w:rsidRPr="00062B16">
        <w:rPr>
          <w:rFonts w:ascii="Tahoma" w:hAnsi="Tahoma" w:cs="Tahoma"/>
          <w:snapToGrid w:val="0"/>
        </w:rPr>
        <w:t>szerepel</w:t>
      </w:r>
      <w:r>
        <w:rPr>
          <w:rFonts w:ascii="Tahoma" w:hAnsi="Tahoma" w:cs="Tahoma"/>
          <w:snapToGrid w:val="0"/>
        </w:rPr>
        <w:t xml:space="preserve"> </w:t>
      </w:r>
      <w:r w:rsidRPr="00D35627">
        <w:rPr>
          <w:rFonts w:ascii="Tahoma" w:hAnsi="Tahoma" w:cs="Tahoma"/>
        </w:rPr>
        <w:t xml:space="preserve">a biocid termékekben található valamennyi létező hatóanyag szisztematikus vizsgálatára irányuló, az 528/2012/EU európai parlamenti és tanácsi rendeletben említett munkaprogramról szóló </w:t>
      </w:r>
      <w:r w:rsidRPr="00D35627">
        <w:rPr>
          <w:rFonts w:ascii="Tahoma" w:hAnsi="Tahoma" w:cs="Tahoma"/>
          <w:b/>
          <w:bCs/>
        </w:rPr>
        <w:t xml:space="preserve">1062/2014/EU rendelet II. mellékletének </w:t>
      </w:r>
      <w:r>
        <w:rPr>
          <w:rFonts w:ascii="Tahoma" w:hAnsi="Tahoma" w:cs="Tahoma"/>
          <w:b/>
          <w:bCs/>
        </w:rPr>
        <w:br/>
        <w:t>1.</w:t>
      </w:r>
      <w:r w:rsidRPr="00D35627">
        <w:rPr>
          <w:rFonts w:ascii="Tahoma" w:hAnsi="Tahoma" w:cs="Tahoma"/>
          <w:b/>
          <w:bCs/>
        </w:rPr>
        <w:t xml:space="preserve"> részében a </w:t>
      </w:r>
      <w:r>
        <w:rPr>
          <w:rFonts w:ascii="Tahoma" w:hAnsi="Tahoma" w:cs="Tahoma"/>
          <w:b/>
          <w:bCs/>
        </w:rPr>
        <w:t>1. terméktípusban.</w:t>
      </w:r>
    </w:p>
    <w:p w:rsidR="00B0676C" w:rsidRDefault="00B0676C"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B0676C" w:rsidRPr="0008511E" w:rsidRDefault="00B0676C"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B0676C" w:rsidRPr="0008511E" w:rsidRDefault="00B0676C" w:rsidP="005C50EE">
      <w:pPr>
        <w:tabs>
          <w:tab w:val="left" w:pos="1985"/>
        </w:tabs>
        <w:ind w:left="426"/>
        <w:rPr>
          <w:rFonts w:ascii="Tahoma" w:hAnsi="Tahoma" w:cs="Tahoma"/>
        </w:rPr>
      </w:pPr>
      <w:r w:rsidRPr="0008511E">
        <w:rPr>
          <w:rFonts w:ascii="Tahoma" w:hAnsi="Tahoma" w:cs="Tahoma"/>
        </w:rPr>
        <w:t>H-3333 Terpes, Petőfi út 2 – 4.</w:t>
      </w:r>
    </w:p>
    <w:p w:rsidR="00B0676C" w:rsidRDefault="00B0676C"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B0676C" w:rsidRPr="0008511E" w:rsidRDefault="00B0676C" w:rsidP="005C50EE">
      <w:pPr>
        <w:tabs>
          <w:tab w:val="left" w:pos="1985"/>
        </w:tabs>
        <w:ind w:left="426"/>
        <w:rPr>
          <w:rFonts w:ascii="Tahoma" w:hAnsi="Tahoma" w:cs="Tahoma"/>
        </w:rPr>
      </w:pPr>
      <w:r>
        <w:rPr>
          <w:rFonts w:ascii="Tahoma" w:hAnsi="Tahoma" w:cs="Tahoma"/>
        </w:rPr>
        <w:t>honlap: www.gironde.hu</w:t>
      </w:r>
    </w:p>
    <w:p w:rsidR="00B0676C" w:rsidRDefault="00B0676C"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B0676C" w:rsidRPr="004D5835" w:rsidRDefault="00B0676C" w:rsidP="005C50EE">
      <w:pPr>
        <w:tabs>
          <w:tab w:val="left" w:pos="2268"/>
          <w:tab w:val="right" w:pos="9214"/>
        </w:tabs>
        <w:spacing w:before="8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B0676C" w:rsidRDefault="00B0676C"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B0676C" w:rsidRDefault="00B0676C"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B0676C" w:rsidRDefault="00B0676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B0676C" w:rsidRDefault="00B0676C"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veszélyes keverék.</w:t>
      </w:r>
    </w:p>
    <w:p w:rsidR="00B0676C" w:rsidRDefault="00B0676C" w:rsidP="00280409">
      <w:pPr>
        <w:spacing w:before="80"/>
        <w:jc w:val="both"/>
        <w:rPr>
          <w:rFonts w:ascii="Tahoma" w:hAnsi="Tahoma" w:cs="Tahoma"/>
        </w:rPr>
      </w:pPr>
      <w:r>
        <w:rPr>
          <w:rFonts w:ascii="Tahoma" w:hAnsi="Tahoma" w:cs="Tahoma"/>
          <w:b/>
          <w:bCs/>
        </w:rPr>
        <w:t xml:space="preserve">2.1.2. </w:t>
      </w:r>
      <w:r w:rsidRPr="00E43E30">
        <w:rPr>
          <w:rFonts w:ascii="Tahoma" w:hAnsi="Tahoma" w:cs="Tahoma"/>
          <w:b/>
          <w:bCs/>
        </w:rPr>
        <w:t>Osztályozása a CLP</w:t>
      </w:r>
      <w:r>
        <w:rPr>
          <w:rFonts w:ascii="Tahoma" w:hAnsi="Tahoma" w:cs="Tahoma"/>
          <w:b/>
          <w:bCs/>
        </w:rPr>
        <w:t xml:space="preserve"> </w:t>
      </w:r>
      <w:r w:rsidRPr="00E43E30">
        <w:rPr>
          <w:rFonts w:ascii="Tahoma" w:hAnsi="Tahoma" w:cs="Tahoma"/>
          <w:b/>
          <w:bCs/>
        </w:rPr>
        <w:t>szerint:</w:t>
      </w:r>
      <w:r>
        <w:rPr>
          <w:rFonts w:ascii="Tahoma" w:hAnsi="Tahoma" w:cs="Tahoma"/>
        </w:rPr>
        <w:tab/>
        <w:t>Skin Irrit. 2, H315; Eye Dam. 1, H318; Aquatic Acute 1, H400</w:t>
      </w:r>
    </w:p>
    <w:p w:rsidR="00B0676C" w:rsidRPr="00881F77" w:rsidRDefault="00B0676C" w:rsidP="00280409">
      <w:pPr>
        <w:spacing w:before="120" w:after="120"/>
        <w:jc w:val="both"/>
        <w:rPr>
          <w:rFonts w:ascii="Tahoma" w:hAnsi="Tahoma" w:cs="Tahoma"/>
          <w:snapToGrid w:val="0"/>
        </w:rPr>
      </w:pPr>
      <w:r w:rsidRPr="00881F77">
        <w:rPr>
          <w:rFonts w:ascii="Tahoma" w:hAnsi="Tahoma" w:cs="Tahoma"/>
          <w:snapToGrid w:val="0"/>
        </w:rPr>
        <w:t>A röv</w:t>
      </w:r>
      <w:r>
        <w:rPr>
          <w:rFonts w:ascii="Tahoma" w:hAnsi="Tahoma" w:cs="Tahoma"/>
          <w:snapToGrid w:val="0"/>
        </w:rPr>
        <w:t xml:space="preserve">idítések magyarázatát és a </w:t>
      </w:r>
      <w:r w:rsidRPr="00881F77">
        <w:rPr>
          <w:rFonts w:ascii="Tahoma" w:hAnsi="Tahoma" w:cs="Tahoma"/>
          <w:snapToGrid w:val="0"/>
        </w:rPr>
        <w:t>H-mondatok teljes szövegét lásd a 16. szakaszban.</w:t>
      </w:r>
    </w:p>
    <w:p w:rsidR="00B0676C" w:rsidRDefault="00B0676C" w:rsidP="00280409">
      <w:pPr>
        <w:spacing w:before="120" w:after="12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piktogram</w:t>
      </w:r>
      <w:r>
        <w:rPr>
          <w:rFonts w:ascii="Tahoma" w:hAnsi="Tahoma" w:cs="Tahoma"/>
          <w:snapToGrid w:val="0"/>
        </w:rPr>
        <w:t>ok</w:t>
      </w:r>
      <w:r w:rsidRPr="00184F11">
        <w:rPr>
          <w:rFonts w:ascii="Tahoma" w:hAnsi="Tahoma" w:cs="Tahoma"/>
          <w:snapToGrid w:val="0"/>
        </w:rPr>
        <w:t>: GHS0</w:t>
      </w:r>
      <w:r>
        <w:rPr>
          <w:rFonts w:ascii="Tahoma" w:hAnsi="Tahoma" w:cs="Tahoma"/>
          <w:snapToGrid w:val="0"/>
        </w:rPr>
        <w:t>5, GHS09; Figyelmeztetés: VESZÉLY</w:t>
      </w:r>
    </w:p>
    <w:tbl>
      <w:tblPr>
        <w:tblW w:w="9356" w:type="dxa"/>
        <w:tblInd w:w="-106" w:type="dxa"/>
        <w:tblLayout w:type="fixed"/>
        <w:tblLook w:val="00A0"/>
      </w:tblPr>
      <w:tblGrid>
        <w:gridCol w:w="1560"/>
        <w:gridCol w:w="7796"/>
      </w:tblGrid>
      <w:tr w:rsidR="00B0676C">
        <w:tc>
          <w:tcPr>
            <w:tcW w:w="1560" w:type="dxa"/>
            <w:vAlign w:val="center"/>
          </w:tcPr>
          <w:p w:rsidR="00B0676C" w:rsidRPr="00BD425C" w:rsidRDefault="00B0676C" w:rsidP="006F07F5">
            <w:pPr>
              <w:tabs>
                <w:tab w:val="left" w:pos="2552"/>
              </w:tabs>
              <w:spacing w:after="120"/>
              <w:ind w:right="-108" w:hanging="108"/>
              <w:jc w:val="center"/>
              <w:rPr>
                <w:rFonts w:ascii="Tahoma" w:hAnsi="Tahoma" w:cs="Tahoma"/>
                <w:b/>
                <w:bCs/>
                <w:snapToGrid w:val="0"/>
              </w:rPr>
            </w:pPr>
            <w:r>
              <w:rPr>
                <w:rFonts w:ascii="Tahoma" w:hAnsi="Tahoma" w:cs="Tahoma"/>
                <w:b/>
                <w:bCs/>
                <w:snapToGrid w:val="0"/>
              </w:rPr>
              <w:t>VESZÉLY</w:t>
            </w:r>
          </w:p>
          <w:p w:rsidR="00B0676C" w:rsidRDefault="00B0676C" w:rsidP="006F07F5">
            <w:pPr>
              <w:tabs>
                <w:tab w:val="left" w:pos="2552"/>
              </w:tabs>
              <w:ind w:left="-108" w:right="-108"/>
              <w:jc w:val="center"/>
              <w:rPr>
                <w:rFonts w:ascii="Tahoma" w:hAnsi="Tahoma" w:cs="Tahoma"/>
                <w:noProof/>
              </w:rPr>
            </w:pPr>
            <w:r w:rsidRPr="007020E3">
              <w:rPr>
                <w:rFonts w:ascii="Tahoma" w:hAnsi="Tahoma" w:cs="Tahom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5" o:spid="_x0000_i1025" type="#_x0000_t75" alt="acid_red" style="width:61.5pt;height:61.5pt;visibility:visible">
                  <v:imagedata r:id="rId7" o:title=""/>
                </v:shape>
              </w:pict>
            </w:r>
            <w:r w:rsidRPr="007020E3">
              <w:rPr>
                <w:rFonts w:ascii="Tahoma" w:hAnsi="Tahoma" w:cs="Tahoma"/>
                <w:noProof/>
              </w:rPr>
              <w:pict>
                <v:shape id="Kép 6" o:spid="_x0000_i1026" type="#_x0000_t75" alt="Aquatic-pollut-red" style="width:61.5pt;height:61.5pt;visibility:visible">
                  <v:imagedata r:id="rId8" o:title=""/>
                </v:shape>
              </w:pict>
            </w:r>
          </w:p>
          <w:p w:rsidR="00B0676C" w:rsidRPr="00BD425C" w:rsidRDefault="00B0676C" w:rsidP="006F07F5">
            <w:pPr>
              <w:tabs>
                <w:tab w:val="left" w:pos="2552"/>
              </w:tabs>
              <w:ind w:right="34"/>
              <w:jc w:val="center"/>
              <w:rPr>
                <w:rFonts w:ascii="Tahoma" w:hAnsi="Tahoma" w:cs="Tahoma"/>
                <w:snapToGrid w:val="0"/>
              </w:rPr>
            </w:pPr>
          </w:p>
        </w:tc>
        <w:tc>
          <w:tcPr>
            <w:tcW w:w="7796" w:type="dxa"/>
            <w:vAlign w:val="center"/>
          </w:tcPr>
          <w:p w:rsidR="00B0676C" w:rsidRPr="00BD425C" w:rsidRDefault="00B0676C" w:rsidP="006F07F5">
            <w:pPr>
              <w:tabs>
                <w:tab w:val="left" w:pos="1560"/>
              </w:tabs>
              <w:spacing w:before="80"/>
              <w:jc w:val="both"/>
              <w:rPr>
                <w:rFonts w:ascii="Tahoma" w:hAnsi="Tahoma" w:cs="Tahoma"/>
                <w:b/>
                <w:bCs/>
                <w:snapToGrid w:val="0"/>
              </w:rPr>
            </w:pPr>
            <w:r w:rsidRPr="00BD425C">
              <w:rPr>
                <w:rFonts w:ascii="Tahoma" w:hAnsi="Tahoma" w:cs="Tahoma"/>
                <w:b/>
                <w:bCs/>
                <w:snapToGrid w:val="0"/>
              </w:rPr>
              <w:t>A keverék veszélyeire/kockázataira figyelmeztető H-mondatok:</w:t>
            </w:r>
          </w:p>
          <w:p w:rsidR="00B0676C" w:rsidRPr="00280409" w:rsidRDefault="00B0676C" w:rsidP="00280409">
            <w:pPr>
              <w:tabs>
                <w:tab w:val="left" w:pos="742"/>
                <w:tab w:val="left" w:pos="1026"/>
                <w:tab w:val="left" w:pos="1134"/>
                <w:tab w:val="left" w:pos="1418"/>
              </w:tabs>
              <w:rPr>
                <w:rFonts w:ascii="Tahoma" w:hAnsi="Tahoma" w:cs="Tahoma"/>
                <w:snapToGrid w:val="0"/>
              </w:rPr>
            </w:pPr>
            <w:r w:rsidRPr="00280409">
              <w:rPr>
                <w:rFonts w:ascii="Tahoma" w:hAnsi="Tahoma" w:cs="Tahoma"/>
                <w:snapToGrid w:val="0"/>
              </w:rPr>
              <w:t>H315</w:t>
            </w:r>
            <w:r w:rsidRPr="00280409">
              <w:rPr>
                <w:rFonts w:ascii="Tahoma" w:hAnsi="Tahoma" w:cs="Tahoma"/>
                <w:snapToGrid w:val="0"/>
              </w:rPr>
              <w:tab/>
              <w:t>Bőrirritáló hatású.</w:t>
            </w:r>
          </w:p>
          <w:p w:rsidR="00B0676C" w:rsidRPr="00280409" w:rsidRDefault="00B0676C" w:rsidP="00AC1515">
            <w:pPr>
              <w:tabs>
                <w:tab w:val="left" w:pos="742"/>
              </w:tabs>
              <w:rPr>
                <w:rFonts w:ascii="Tahoma" w:hAnsi="Tahoma" w:cs="Tahoma"/>
                <w:snapToGrid w:val="0"/>
              </w:rPr>
            </w:pPr>
            <w:r w:rsidRPr="00280409">
              <w:rPr>
                <w:rFonts w:ascii="Tahoma" w:hAnsi="Tahoma" w:cs="Tahoma"/>
                <w:snapToGrid w:val="0"/>
              </w:rPr>
              <w:t>H318</w:t>
            </w:r>
            <w:r w:rsidRPr="00280409">
              <w:rPr>
                <w:rFonts w:ascii="Tahoma" w:hAnsi="Tahoma" w:cs="Tahoma"/>
                <w:snapToGrid w:val="0"/>
              </w:rPr>
              <w:tab/>
              <w:t>Súlyos szemkárosodást okoz.</w:t>
            </w:r>
          </w:p>
          <w:p w:rsidR="00B0676C" w:rsidRPr="00863185" w:rsidRDefault="00B0676C" w:rsidP="00AC1515">
            <w:pPr>
              <w:tabs>
                <w:tab w:val="left" w:pos="742"/>
              </w:tabs>
              <w:rPr>
                <w:rFonts w:ascii="Tahoma" w:hAnsi="Tahoma" w:cs="Tahoma"/>
              </w:rPr>
            </w:pPr>
            <w:r>
              <w:rPr>
                <w:rFonts w:ascii="Tahoma" w:hAnsi="Tahoma" w:cs="Tahoma"/>
              </w:rPr>
              <w:t>H400</w:t>
            </w:r>
            <w:r>
              <w:rPr>
                <w:rFonts w:ascii="Tahoma" w:hAnsi="Tahoma" w:cs="Tahoma"/>
              </w:rPr>
              <w:tab/>
              <w:t>Nagyon mérgező a vízi élővilágra.</w:t>
            </w:r>
          </w:p>
          <w:p w:rsidR="00B0676C" w:rsidRPr="00BD425C" w:rsidRDefault="00B0676C" w:rsidP="00AC1515">
            <w:pPr>
              <w:tabs>
                <w:tab w:val="left" w:pos="567"/>
                <w:tab w:val="left" w:pos="742"/>
                <w:tab w:val="left" w:pos="1418"/>
              </w:tabs>
              <w:spacing w:before="120"/>
              <w:jc w:val="both"/>
              <w:rPr>
                <w:rFonts w:ascii="Tahoma" w:hAnsi="Tahoma" w:cs="Tahoma"/>
                <w:b/>
                <w:bCs/>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mondatok:</w:t>
            </w:r>
          </w:p>
          <w:p w:rsidR="00B0676C" w:rsidRPr="00AC1515" w:rsidRDefault="00B0676C" w:rsidP="00AC1515">
            <w:pPr>
              <w:tabs>
                <w:tab w:val="left" w:pos="742"/>
                <w:tab w:val="left" w:pos="1026"/>
                <w:tab w:val="left" w:pos="1134"/>
                <w:tab w:val="left" w:pos="1418"/>
              </w:tabs>
              <w:rPr>
                <w:rFonts w:ascii="Tahoma" w:hAnsi="Tahoma" w:cs="Tahoma"/>
                <w:snapToGrid w:val="0"/>
              </w:rPr>
            </w:pPr>
            <w:r w:rsidRPr="004A05D4">
              <w:rPr>
                <w:rFonts w:ascii="Tahoma" w:hAnsi="Tahoma" w:cs="Tahoma"/>
                <w:snapToGrid w:val="0"/>
              </w:rPr>
              <w:t>P1</w:t>
            </w:r>
            <w:r w:rsidRPr="00AC1515">
              <w:rPr>
                <w:rFonts w:ascii="Tahoma" w:hAnsi="Tahoma" w:cs="Tahoma"/>
                <w:snapToGrid w:val="0"/>
              </w:rPr>
              <w:t>02</w:t>
            </w:r>
            <w:r w:rsidRPr="00AC1515">
              <w:rPr>
                <w:rFonts w:ascii="Tahoma" w:hAnsi="Tahoma" w:cs="Tahoma"/>
                <w:snapToGrid w:val="0"/>
              </w:rPr>
              <w:tab/>
              <w:t>Gyermekektől elzárva tartandó.</w:t>
            </w:r>
          </w:p>
          <w:p w:rsidR="00B0676C" w:rsidRPr="00AC1515" w:rsidRDefault="00B0676C" w:rsidP="0083206B">
            <w:pPr>
              <w:tabs>
                <w:tab w:val="left" w:pos="742"/>
                <w:tab w:val="left" w:pos="1026"/>
                <w:tab w:val="left" w:pos="1134"/>
                <w:tab w:val="left" w:pos="1418"/>
              </w:tabs>
              <w:spacing w:before="40"/>
              <w:rPr>
                <w:rFonts w:ascii="Tahoma" w:hAnsi="Tahoma" w:cs="Tahoma"/>
                <w:snapToGrid w:val="0"/>
              </w:rPr>
            </w:pPr>
            <w:r w:rsidRPr="00AC1515">
              <w:rPr>
                <w:rFonts w:ascii="Tahoma" w:hAnsi="Tahoma" w:cs="Tahoma"/>
                <w:snapToGrid w:val="0"/>
              </w:rPr>
              <w:t>P103</w:t>
            </w:r>
            <w:r w:rsidRPr="00AC1515">
              <w:rPr>
                <w:rFonts w:ascii="Tahoma" w:hAnsi="Tahoma" w:cs="Tahoma"/>
                <w:snapToGrid w:val="0"/>
              </w:rPr>
              <w:tab/>
              <w:t>Használat előtt olvassa el a címkén közölt információkat.</w:t>
            </w:r>
          </w:p>
          <w:p w:rsidR="00B0676C" w:rsidRPr="00AC1515" w:rsidRDefault="00B0676C" w:rsidP="0083206B">
            <w:pPr>
              <w:tabs>
                <w:tab w:val="left" w:pos="742"/>
                <w:tab w:val="left" w:pos="1167"/>
                <w:tab w:val="left" w:pos="2694"/>
                <w:tab w:val="left" w:pos="3544"/>
              </w:tabs>
              <w:spacing w:before="40"/>
              <w:rPr>
                <w:rFonts w:ascii="Tahoma" w:hAnsi="Tahoma" w:cs="Tahoma"/>
                <w:snapToGrid w:val="0"/>
              </w:rPr>
            </w:pPr>
            <w:r w:rsidRPr="00AC1515">
              <w:rPr>
                <w:rFonts w:ascii="Tahoma" w:hAnsi="Tahoma" w:cs="Tahoma"/>
                <w:snapToGrid w:val="0"/>
              </w:rPr>
              <w:t xml:space="preserve">P305+P351+P338 SZEMBE KERÜLÉS ESETÉN Óvatos öblítés vízzel több percen keresztül. Adott esetben a kontaktlencsék eltávolítása, ha könnyen megoldható. </w:t>
            </w:r>
            <w:r w:rsidRPr="00AC1515">
              <w:rPr>
                <w:rFonts w:ascii="Tahoma" w:hAnsi="Tahoma" w:cs="Tahoma"/>
                <w:snapToGrid w:val="0"/>
              </w:rPr>
              <w:br/>
              <w:t>Az öblítés folytatása.</w:t>
            </w:r>
          </w:p>
          <w:p w:rsidR="00B0676C" w:rsidRPr="00BD425C" w:rsidRDefault="00B0676C" w:rsidP="00090B0D">
            <w:pPr>
              <w:tabs>
                <w:tab w:val="left" w:pos="742"/>
                <w:tab w:val="left" w:pos="1167"/>
                <w:tab w:val="left" w:pos="2694"/>
                <w:tab w:val="left" w:pos="3544"/>
              </w:tabs>
              <w:spacing w:before="40"/>
              <w:rPr>
                <w:rFonts w:ascii="Tahoma" w:hAnsi="Tahoma" w:cs="Tahoma"/>
                <w:snapToGrid w:val="0"/>
              </w:rPr>
            </w:pPr>
            <w:r w:rsidRPr="00AC1515">
              <w:rPr>
                <w:rFonts w:ascii="Tahoma" w:hAnsi="Tahoma" w:cs="Tahoma"/>
                <w:snapToGrid w:val="0"/>
                <w:color w:val="000000"/>
              </w:rPr>
              <w:t>P273</w:t>
            </w:r>
            <w:r w:rsidRPr="00AC1515">
              <w:rPr>
                <w:rFonts w:ascii="Tahoma" w:hAnsi="Tahoma" w:cs="Tahoma"/>
                <w:snapToGrid w:val="0"/>
                <w:color w:val="000000"/>
              </w:rPr>
              <w:tab/>
              <w:t>Kerülni kell az anyagnak a környezetbe való kijutását.</w:t>
            </w:r>
            <w:r w:rsidRPr="00AC1515">
              <w:rPr>
                <w:rFonts w:ascii="Tahoma" w:hAnsi="Tahoma" w:cs="Tahoma"/>
                <w:snapToGrid w:val="0"/>
              </w:rPr>
              <w:br/>
              <w:t>P501</w:t>
            </w:r>
            <w:r>
              <w:rPr>
                <w:rFonts w:ascii="Tahoma" w:hAnsi="Tahoma" w:cs="Tahoma"/>
                <w:snapToGrid w:val="0"/>
              </w:rPr>
              <w:tab/>
            </w:r>
            <w:r w:rsidRPr="00AC1515">
              <w:rPr>
                <w:rFonts w:ascii="Tahoma" w:hAnsi="Tahoma" w:cs="Tahoma"/>
                <w:snapToGrid w:val="0"/>
              </w:rPr>
              <w:t>A tartalom/edény elhelyezése hulladékként: a helyi előírások szerint</w:t>
            </w:r>
            <w:r>
              <w:rPr>
                <w:rFonts w:ascii="Tahoma" w:hAnsi="Tahoma" w:cs="Tahoma"/>
                <w:snapToGrid w:val="0"/>
              </w:rPr>
              <w:t>.</w:t>
            </w:r>
          </w:p>
        </w:tc>
      </w:tr>
    </w:tbl>
    <w:p w:rsidR="00B0676C" w:rsidRDefault="00B0676C" w:rsidP="00090B0D">
      <w:pPr>
        <w:tabs>
          <w:tab w:val="left" w:pos="3800"/>
        </w:tabs>
        <w:spacing w:before="120"/>
        <w:ind w:right="204"/>
        <w:rPr>
          <w:rFonts w:ascii="Tahoma" w:hAnsi="Tahoma" w:cs="Tahoma"/>
        </w:rPr>
      </w:pPr>
      <w:r w:rsidRPr="001555B4">
        <w:rPr>
          <w:rFonts w:ascii="Tahoma" w:hAnsi="Tahoma" w:cs="Tahoma"/>
          <w:b/>
          <w:bCs/>
        </w:rPr>
        <w:t>Veszélyt meghatározó komponens:</w:t>
      </w:r>
      <w:r>
        <w:rPr>
          <w:rFonts w:ascii="Tahoma" w:hAnsi="Tahoma" w:cs="Tahoma"/>
        </w:rPr>
        <w:t xml:space="preserve"> d</w:t>
      </w:r>
      <w:r w:rsidRPr="00280409">
        <w:rPr>
          <w:rFonts w:ascii="Tahoma" w:hAnsi="Tahoma" w:cs="Tahoma"/>
        </w:rPr>
        <w:t>idecil-dimetil-ammónium-klorid</w:t>
      </w:r>
    </w:p>
    <w:p w:rsidR="00B0676C" w:rsidRPr="00450553" w:rsidRDefault="00B0676C" w:rsidP="00210D0C">
      <w:pPr>
        <w:tabs>
          <w:tab w:val="left" w:pos="3800"/>
        </w:tabs>
        <w:spacing w:before="40"/>
        <w:ind w:right="204"/>
        <w:rPr>
          <w:rFonts w:ascii="Tahoma" w:hAnsi="Tahoma" w:cs="Tahoma"/>
        </w:rPr>
      </w:pPr>
      <w:r w:rsidRPr="00791331">
        <w:rPr>
          <w:rFonts w:ascii="Tahoma" w:hAnsi="Tahoma" w:cs="Tahoma"/>
          <w:b/>
          <w:bCs/>
        </w:rPr>
        <w:t>Hatóanyag-tartalom:</w:t>
      </w:r>
      <w:r>
        <w:rPr>
          <w:rFonts w:ascii="Tahoma" w:hAnsi="Tahoma" w:cs="Tahoma"/>
        </w:rPr>
        <w:t xml:space="preserve"> 4% d</w:t>
      </w:r>
      <w:r w:rsidRPr="00280409">
        <w:rPr>
          <w:rFonts w:ascii="Tahoma" w:hAnsi="Tahoma" w:cs="Tahoma"/>
        </w:rPr>
        <w:t>idecil-dimetil-ammónium-klorid</w:t>
      </w:r>
    </w:p>
    <w:p w:rsidR="00B0676C" w:rsidRDefault="00B0676C" w:rsidP="00C124FE">
      <w:pPr>
        <w:spacing w:before="120"/>
        <w:jc w:val="both"/>
        <w:rPr>
          <w:rFonts w:ascii="Tahoma" w:hAnsi="Tahoma" w:cs="Tahoma"/>
          <w:b/>
          <w:bCs/>
          <w:snapToGrid w:val="0"/>
        </w:rPr>
      </w:pPr>
      <w:r w:rsidRPr="003B0269">
        <w:rPr>
          <w:rFonts w:ascii="Tahoma" w:hAnsi="Tahoma" w:cs="Tahoma"/>
          <w:b/>
          <w:bCs/>
          <w:snapToGrid w:val="0"/>
        </w:rPr>
        <w:t xml:space="preserve">2.3. Egyéb </w:t>
      </w:r>
      <w:r>
        <w:rPr>
          <w:rFonts w:ascii="Tahoma" w:hAnsi="Tahoma" w:cs="Tahoma"/>
          <w:b/>
          <w:bCs/>
          <w:snapToGrid w:val="0"/>
        </w:rPr>
        <w:t xml:space="preserve">információ: </w:t>
      </w:r>
      <w:bookmarkEnd w:id="0"/>
    </w:p>
    <w:p w:rsidR="00B0676C" w:rsidRDefault="00B0676C" w:rsidP="003A49C6">
      <w:pPr>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3A49C6">
        <w:rPr>
          <w:rFonts w:ascii="Tahoma" w:hAnsi="Tahoma" w:cs="Tahoma"/>
          <w:snapToGrid w:val="0"/>
        </w:rPr>
        <w:t>a termék összetevői nem tekinthetők PBT, vPvB anyagnak.</w:t>
      </w:r>
    </w:p>
    <w:p w:rsidR="00B0676C" w:rsidRDefault="00B0676C" w:rsidP="008056B9">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B0676C" w:rsidRPr="005906FB" w:rsidRDefault="00B0676C" w:rsidP="00EA7B2A">
      <w:pPr>
        <w:tabs>
          <w:tab w:val="left" w:pos="426"/>
          <w:tab w:val="left" w:pos="6379"/>
        </w:tabs>
        <w:spacing w:before="60" w:after="60"/>
        <w:ind w:left="284" w:hanging="284"/>
        <w:jc w:val="both"/>
        <w:rPr>
          <w:rFonts w:ascii="Tahoma" w:hAnsi="Tahoma" w:cs="Tahoma"/>
          <w:snapToGrid w:val="0"/>
        </w:rPr>
      </w:pPr>
      <w:r w:rsidRPr="005906FB">
        <w:rPr>
          <w:rFonts w:ascii="Tahoma" w:hAnsi="Tahoma" w:cs="Tahoma"/>
          <w:b/>
          <w:bCs/>
          <w:snapToGrid w:val="0"/>
        </w:rPr>
        <w:t>Kémiai jelleg:</w:t>
      </w:r>
      <w:r w:rsidRPr="005906FB">
        <w:rPr>
          <w:rFonts w:ascii="Tahoma" w:hAnsi="Tahoma" w:cs="Tahoma"/>
          <w:snapToGrid w:val="0"/>
        </w:rPr>
        <w:t xml:space="preserve"> </w:t>
      </w:r>
      <w:r>
        <w:rPr>
          <w:rFonts w:ascii="Tahoma" w:hAnsi="Tahoma" w:cs="Tahoma"/>
          <w:snapToGrid w:val="0"/>
        </w:rPr>
        <w:t>keverék.</w:t>
      </w:r>
      <w:r w:rsidRPr="005906FB">
        <w:rPr>
          <w:rFonts w:ascii="Tahoma" w:hAnsi="Tahoma" w:cs="Tahoma"/>
          <w:snapToGrid w:val="0"/>
        </w:rPr>
        <w:t xml:space="preserve"> </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08"/>
        <w:gridCol w:w="850"/>
        <w:gridCol w:w="4021"/>
      </w:tblGrid>
      <w:tr w:rsidR="00B0676C">
        <w:trPr>
          <w:trHeight w:val="383"/>
          <w:jc w:val="center"/>
        </w:trPr>
        <w:tc>
          <w:tcPr>
            <w:tcW w:w="4308" w:type="dxa"/>
            <w:vAlign w:val="center"/>
          </w:tcPr>
          <w:p w:rsidR="00B0676C" w:rsidRPr="0071479E" w:rsidRDefault="00B0676C" w:rsidP="006F07F5">
            <w:pPr>
              <w:ind w:left="62" w:right="-18"/>
              <w:jc w:val="center"/>
              <w:rPr>
                <w:rFonts w:ascii="Tahoma" w:hAnsi="Tahoma" w:cs="Tahoma"/>
                <w:b/>
                <w:bCs/>
                <w:snapToGrid w:val="0"/>
                <w:sz w:val="18"/>
                <w:szCs w:val="18"/>
              </w:rPr>
            </w:pPr>
            <w:r w:rsidRPr="0071479E">
              <w:rPr>
                <w:rFonts w:ascii="Tahoma" w:hAnsi="Tahoma" w:cs="Tahoma"/>
                <w:b/>
                <w:bCs/>
                <w:snapToGrid w:val="0"/>
                <w:sz w:val="18"/>
                <w:szCs w:val="18"/>
              </w:rPr>
              <w:t>Veszélyes komponensek</w:t>
            </w:r>
          </w:p>
        </w:tc>
        <w:tc>
          <w:tcPr>
            <w:tcW w:w="850" w:type="dxa"/>
            <w:vAlign w:val="center"/>
          </w:tcPr>
          <w:p w:rsidR="00B0676C" w:rsidRPr="0071479E" w:rsidRDefault="00B0676C" w:rsidP="009646CA">
            <w:pPr>
              <w:ind w:left="62" w:right="62"/>
              <w:jc w:val="center"/>
              <w:rPr>
                <w:rFonts w:ascii="Tahoma" w:hAnsi="Tahoma" w:cs="Tahoma"/>
                <w:b/>
                <w:bCs/>
                <w:snapToGrid w:val="0"/>
                <w:spacing w:val="-12"/>
                <w:sz w:val="18"/>
                <w:szCs w:val="18"/>
              </w:rPr>
            </w:pPr>
            <w:r w:rsidRPr="0071479E">
              <w:rPr>
                <w:rFonts w:ascii="Tahoma" w:hAnsi="Tahoma" w:cs="Tahoma"/>
                <w:b/>
                <w:bCs/>
                <w:snapToGrid w:val="0"/>
                <w:spacing w:val="-12"/>
                <w:sz w:val="18"/>
                <w:szCs w:val="18"/>
              </w:rPr>
              <w:t>Konc.</w:t>
            </w:r>
          </w:p>
        </w:tc>
        <w:tc>
          <w:tcPr>
            <w:tcW w:w="4021" w:type="dxa"/>
            <w:vAlign w:val="center"/>
          </w:tcPr>
          <w:p w:rsidR="00B0676C" w:rsidRPr="0071479E" w:rsidRDefault="00B0676C" w:rsidP="009646CA">
            <w:pPr>
              <w:tabs>
                <w:tab w:val="left" w:pos="6379"/>
              </w:tabs>
              <w:spacing w:before="40"/>
              <w:ind w:left="204" w:right="62" w:hanging="204"/>
              <w:jc w:val="center"/>
              <w:rPr>
                <w:rFonts w:ascii="Tahoma" w:hAnsi="Tahoma" w:cs="Tahoma"/>
                <w:b/>
                <w:bCs/>
                <w:snapToGrid w:val="0"/>
                <w:spacing w:val="-12"/>
                <w:sz w:val="18"/>
                <w:szCs w:val="18"/>
              </w:rPr>
            </w:pPr>
            <w:r w:rsidRPr="0071479E">
              <w:rPr>
                <w:rFonts w:ascii="Tahoma" w:hAnsi="Tahoma" w:cs="Tahoma"/>
                <w:b/>
                <w:bCs/>
                <w:snapToGrid w:val="0"/>
                <w:sz w:val="18"/>
                <w:szCs w:val="18"/>
              </w:rPr>
              <w:t>CLP: Veszélyességi osztály, kategória,</w:t>
            </w:r>
            <w:r>
              <w:rPr>
                <w:rFonts w:ascii="Tahoma" w:hAnsi="Tahoma" w:cs="Tahoma"/>
                <w:b/>
                <w:bCs/>
                <w:snapToGrid w:val="0"/>
                <w:sz w:val="18"/>
                <w:szCs w:val="18"/>
              </w:rPr>
              <w:br/>
            </w:r>
            <w:r w:rsidRPr="0071479E">
              <w:rPr>
                <w:rFonts w:ascii="Tahoma" w:hAnsi="Tahoma" w:cs="Tahoma"/>
                <w:b/>
                <w:bCs/>
                <w:snapToGrid w:val="0"/>
                <w:sz w:val="18"/>
                <w:szCs w:val="18"/>
              </w:rPr>
              <w:t>H-mondat</w:t>
            </w:r>
            <w:r w:rsidRPr="0071479E">
              <w:rPr>
                <w:rFonts w:ascii="Tahoma" w:hAnsi="Tahoma" w:cs="Tahoma"/>
                <w:b/>
                <w:bCs/>
                <w:snapToGrid w:val="0"/>
                <w:spacing w:val="-12"/>
                <w:sz w:val="18"/>
                <w:szCs w:val="18"/>
              </w:rPr>
              <w:t xml:space="preserve"> </w:t>
            </w:r>
          </w:p>
        </w:tc>
      </w:tr>
      <w:tr w:rsidR="00B0676C" w:rsidRPr="009646CA">
        <w:trPr>
          <w:trHeight w:val="624"/>
          <w:jc w:val="center"/>
        </w:trPr>
        <w:tc>
          <w:tcPr>
            <w:tcW w:w="4308" w:type="dxa"/>
            <w:vAlign w:val="center"/>
          </w:tcPr>
          <w:p w:rsidR="00B0676C" w:rsidRPr="00791331" w:rsidRDefault="00B0676C" w:rsidP="00B234DF">
            <w:pPr>
              <w:tabs>
                <w:tab w:val="left" w:pos="2164"/>
              </w:tabs>
              <w:spacing w:before="20"/>
              <w:ind w:left="147" w:right="62" w:hanging="3"/>
              <w:rPr>
                <w:rFonts w:ascii="Tahoma" w:hAnsi="Tahoma" w:cs="Tahoma"/>
                <w:snapToGrid w:val="0"/>
                <w:sz w:val="18"/>
                <w:szCs w:val="18"/>
              </w:rPr>
            </w:pPr>
            <w:r w:rsidRPr="00791331">
              <w:rPr>
                <w:rFonts w:ascii="Tahoma" w:hAnsi="Tahoma" w:cs="Tahoma"/>
                <w:snapToGrid w:val="0"/>
                <w:sz w:val="18"/>
                <w:szCs w:val="18"/>
              </w:rPr>
              <w:t>Didecil-dimetil-ammónium-klorid*</w:t>
            </w:r>
          </w:p>
          <w:p w:rsidR="00B0676C" w:rsidRPr="00791331" w:rsidRDefault="00B0676C" w:rsidP="00B234DF">
            <w:pPr>
              <w:tabs>
                <w:tab w:val="left" w:pos="2164"/>
              </w:tabs>
              <w:ind w:left="147" w:right="62" w:hanging="3"/>
              <w:rPr>
                <w:rFonts w:ascii="Tahoma" w:hAnsi="Tahoma" w:cs="Tahoma"/>
                <w:snapToGrid w:val="0"/>
                <w:sz w:val="18"/>
                <w:szCs w:val="18"/>
              </w:rPr>
            </w:pPr>
            <w:r w:rsidRPr="00791331">
              <w:rPr>
                <w:rFonts w:ascii="Tahoma" w:hAnsi="Tahoma" w:cs="Tahoma"/>
                <w:snapToGrid w:val="0"/>
                <w:sz w:val="18"/>
                <w:szCs w:val="18"/>
              </w:rPr>
              <w:t>CAS-szám: 7173-51-5</w:t>
            </w:r>
            <w:r w:rsidRPr="00791331">
              <w:rPr>
                <w:rFonts w:ascii="Tahoma" w:hAnsi="Tahoma" w:cs="Tahoma"/>
                <w:snapToGrid w:val="0"/>
                <w:sz w:val="18"/>
                <w:szCs w:val="18"/>
              </w:rPr>
              <w:tab/>
              <w:t>EK-szám: 230-525-2</w:t>
            </w:r>
          </w:p>
          <w:p w:rsidR="00B0676C" w:rsidRPr="00791331" w:rsidRDefault="00B0676C" w:rsidP="00B63F21">
            <w:pPr>
              <w:tabs>
                <w:tab w:val="left" w:pos="2164"/>
              </w:tabs>
              <w:ind w:left="147" w:right="62" w:hanging="3"/>
              <w:rPr>
                <w:rFonts w:ascii="Tahoma" w:hAnsi="Tahoma" w:cs="Tahoma"/>
                <w:snapToGrid w:val="0"/>
                <w:sz w:val="18"/>
                <w:szCs w:val="18"/>
              </w:rPr>
            </w:pPr>
            <w:r w:rsidRPr="00791331">
              <w:rPr>
                <w:rFonts w:ascii="Tahoma" w:hAnsi="Tahoma" w:cs="Tahoma"/>
                <w:snapToGrid w:val="0"/>
                <w:sz w:val="18"/>
                <w:szCs w:val="18"/>
              </w:rPr>
              <w:t>Index-szám</w:t>
            </w:r>
            <w:r>
              <w:rPr>
                <w:rFonts w:ascii="Tahoma" w:hAnsi="Tahoma" w:cs="Tahoma"/>
                <w:snapToGrid w:val="0"/>
                <w:sz w:val="18"/>
                <w:szCs w:val="18"/>
              </w:rPr>
              <w:t>:</w:t>
            </w:r>
            <w:r w:rsidRPr="00791331">
              <w:rPr>
                <w:rFonts w:ascii="Tahoma" w:hAnsi="Tahoma" w:cs="Tahoma"/>
                <w:snapToGrid w:val="0"/>
                <w:sz w:val="18"/>
                <w:szCs w:val="18"/>
              </w:rPr>
              <w:t xml:space="preserve"> 612-131-00-6</w:t>
            </w:r>
          </w:p>
        </w:tc>
        <w:tc>
          <w:tcPr>
            <w:tcW w:w="850" w:type="dxa"/>
            <w:vAlign w:val="center"/>
          </w:tcPr>
          <w:p w:rsidR="00B0676C" w:rsidRPr="00791331" w:rsidRDefault="00B0676C" w:rsidP="006F07F5">
            <w:pPr>
              <w:jc w:val="center"/>
              <w:rPr>
                <w:rFonts w:ascii="Tahoma" w:hAnsi="Tahoma" w:cs="Tahoma"/>
                <w:snapToGrid w:val="0"/>
                <w:sz w:val="18"/>
                <w:szCs w:val="18"/>
              </w:rPr>
            </w:pPr>
            <w:r w:rsidRPr="00791331">
              <w:rPr>
                <w:rFonts w:ascii="Tahoma" w:hAnsi="Tahoma" w:cs="Tahoma"/>
                <w:snapToGrid w:val="0"/>
                <w:sz w:val="18"/>
                <w:szCs w:val="18"/>
                <w:lang w:val="en-US"/>
              </w:rPr>
              <w:t>4</w:t>
            </w:r>
            <w:r w:rsidRPr="00791331">
              <w:rPr>
                <w:rFonts w:ascii="Tahoma" w:hAnsi="Tahoma" w:cs="Tahoma"/>
                <w:snapToGrid w:val="0"/>
                <w:sz w:val="18"/>
                <w:szCs w:val="18"/>
              </w:rPr>
              <w:t>%</w:t>
            </w:r>
          </w:p>
        </w:tc>
        <w:tc>
          <w:tcPr>
            <w:tcW w:w="4021" w:type="dxa"/>
            <w:vAlign w:val="center"/>
          </w:tcPr>
          <w:p w:rsidR="00B0676C" w:rsidRPr="00791331" w:rsidRDefault="00B0676C" w:rsidP="006D5911">
            <w:pPr>
              <w:tabs>
                <w:tab w:val="left" w:pos="595"/>
              </w:tabs>
              <w:spacing w:after="20"/>
              <w:ind w:left="142" w:right="62"/>
              <w:rPr>
                <w:rFonts w:ascii="Tahoma" w:hAnsi="Tahoma" w:cs="Tahoma"/>
                <w:snapToGrid w:val="0"/>
                <w:sz w:val="18"/>
                <w:szCs w:val="18"/>
              </w:rPr>
            </w:pPr>
            <w:r w:rsidRPr="00791331">
              <w:rPr>
                <w:rFonts w:ascii="Tahoma" w:hAnsi="Tahoma" w:cs="Tahoma"/>
                <w:snapToGrid w:val="0"/>
                <w:sz w:val="18"/>
                <w:szCs w:val="18"/>
              </w:rPr>
              <w:t>CLP:</w:t>
            </w:r>
            <w:r w:rsidRPr="00791331">
              <w:rPr>
                <w:rFonts w:ascii="Tahoma" w:hAnsi="Tahoma" w:cs="Tahoma"/>
                <w:snapToGrid w:val="0"/>
                <w:sz w:val="18"/>
                <w:szCs w:val="18"/>
              </w:rPr>
              <w:tab/>
              <w:t>Acute Tox. (oral) 3, H301;</w:t>
            </w:r>
          </w:p>
          <w:p w:rsidR="00B0676C" w:rsidRPr="00791331" w:rsidRDefault="00B0676C" w:rsidP="006D5911">
            <w:pPr>
              <w:tabs>
                <w:tab w:val="left" w:pos="595"/>
              </w:tabs>
              <w:ind w:left="142" w:right="62"/>
              <w:rPr>
                <w:rFonts w:ascii="Tahoma" w:hAnsi="Tahoma" w:cs="Tahoma"/>
                <w:snapToGrid w:val="0"/>
                <w:sz w:val="18"/>
                <w:szCs w:val="18"/>
              </w:rPr>
            </w:pPr>
            <w:r w:rsidRPr="00791331">
              <w:rPr>
                <w:rFonts w:ascii="Tahoma" w:hAnsi="Tahoma" w:cs="Tahoma"/>
                <w:snapToGrid w:val="0"/>
                <w:sz w:val="18"/>
                <w:szCs w:val="18"/>
              </w:rPr>
              <w:tab/>
              <w:t>Skin Corr. 1B, H314; Eye Dam. 1, H318;</w:t>
            </w:r>
          </w:p>
          <w:p w:rsidR="00B0676C" w:rsidRPr="00791331" w:rsidRDefault="00B0676C" w:rsidP="006D5911">
            <w:pPr>
              <w:tabs>
                <w:tab w:val="left" w:pos="595"/>
              </w:tabs>
              <w:spacing w:after="20"/>
              <w:ind w:left="142" w:right="62"/>
              <w:rPr>
                <w:rFonts w:ascii="Tahoma" w:hAnsi="Tahoma" w:cs="Tahoma"/>
                <w:snapToGrid w:val="0"/>
                <w:sz w:val="18"/>
                <w:szCs w:val="18"/>
              </w:rPr>
            </w:pPr>
            <w:r w:rsidRPr="00791331">
              <w:rPr>
                <w:rFonts w:ascii="Tahoma" w:hAnsi="Tahoma" w:cs="Tahoma"/>
                <w:snapToGrid w:val="0"/>
                <w:sz w:val="18"/>
                <w:szCs w:val="18"/>
              </w:rPr>
              <w:tab/>
              <w:t>Aquatic Acute 1, H400 (M-faktor: 10)</w:t>
            </w:r>
          </w:p>
        </w:tc>
      </w:tr>
      <w:tr w:rsidR="00B0676C" w:rsidRPr="009646CA">
        <w:trPr>
          <w:trHeight w:val="624"/>
          <w:jc w:val="center"/>
        </w:trPr>
        <w:tc>
          <w:tcPr>
            <w:tcW w:w="4308" w:type="dxa"/>
            <w:vAlign w:val="center"/>
          </w:tcPr>
          <w:p w:rsidR="00B0676C" w:rsidRPr="00791331" w:rsidRDefault="00B0676C" w:rsidP="00B234DF">
            <w:pPr>
              <w:tabs>
                <w:tab w:val="left" w:pos="709"/>
                <w:tab w:val="left" w:pos="2059"/>
                <w:tab w:val="left" w:pos="2136"/>
              </w:tabs>
              <w:spacing w:before="20"/>
              <w:ind w:left="147" w:right="62" w:hanging="3"/>
              <w:rPr>
                <w:rFonts w:ascii="Tahoma" w:hAnsi="Tahoma" w:cs="Tahoma"/>
                <w:snapToGrid w:val="0"/>
                <w:sz w:val="18"/>
                <w:szCs w:val="18"/>
              </w:rPr>
            </w:pPr>
            <w:r w:rsidRPr="00791331">
              <w:rPr>
                <w:rFonts w:ascii="Tahoma" w:hAnsi="Tahoma" w:cs="Tahoma"/>
                <w:snapToGrid w:val="0"/>
                <w:sz w:val="18"/>
                <w:szCs w:val="18"/>
              </w:rPr>
              <w:t>Izopropanol (2-propanol)</w:t>
            </w:r>
          </w:p>
          <w:p w:rsidR="00B0676C" w:rsidRPr="00791331" w:rsidRDefault="00B0676C" w:rsidP="00B234DF">
            <w:pPr>
              <w:tabs>
                <w:tab w:val="left" w:pos="709"/>
                <w:tab w:val="left" w:pos="2136"/>
              </w:tabs>
              <w:ind w:left="147" w:right="62" w:hanging="3"/>
              <w:rPr>
                <w:rFonts w:ascii="Tahoma" w:hAnsi="Tahoma" w:cs="Tahoma"/>
                <w:snapToGrid w:val="0"/>
                <w:sz w:val="18"/>
                <w:szCs w:val="18"/>
              </w:rPr>
            </w:pPr>
            <w:r w:rsidRPr="00791331">
              <w:rPr>
                <w:rFonts w:ascii="Tahoma" w:hAnsi="Tahoma" w:cs="Tahoma"/>
                <w:snapToGrid w:val="0"/>
                <w:sz w:val="18"/>
                <w:szCs w:val="18"/>
              </w:rPr>
              <w:t>CAS-szám: 67-63-0</w:t>
            </w:r>
            <w:r w:rsidRPr="00791331">
              <w:rPr>
                <w:rFonts w:ascii="Tahoma" w:hAnsi="Tahoma" w:cs="Tahoma"/>
                <w:snapToGrid w:val="0"/>
                <w:sz w:val="18"/>
                <w:szCs w:val="18"/>
              </w:rPr>
              <w:tab/>
              <w:t>EK-szám: 200-661-7</w:t>
            </w:r>
          </w:p>
          <w:p w:rsidR="00B0676C" w:rsidRPr="00791331" w:rsidRDefault="00B0676C" w:rsidP="00B234DF">
            <w:pPr>
              <w:tabs>
                <w:tab w:val="left" w:pos="709"/>
                <w:tab w:val="left" w:pos="2059"/>
                <w:tab w:val="left" w:pos="2136"/>
              </w:tabs>
              <w:ind w:left="147" w:right="62" w:hanging="3"/>
              <w:rPr>
                <w:rFonts w:ascii="Tahoma" w:hAnsi="Tahoma" w:cs="Tahoma"/>
                <w:snapToGrid w:val="0"/>
                <w:sz w:val="18"/>
                <w:szCs w:val="18"/>
              </w:rPr>
            </w:pPr>
            <w:r w:rsidRPr="00791331">
              <w:rPr>
                <w:rFonts w:ascii="Tahoma" w:hAnsi="Tahoma" w:cs="Tahoma"/>
                <w:snapToGrid w:val="0"/>
                <w:sz w:val="18"/>
                <w:szCs w:val="18"/>
              </w:rPr>
              <w:t>Index-szám: 603-117-00-0</w:t>
            </w:r>
          </w:p>
        </w:tc>
        <w:tc>
          <w:tcPr>
            <w:tcW w:w="850" w:type="dxa"/>
            <w:vAlign w:val="center"/>
          </w:tcPr>
          <w:p w:rsidR="00B0676C" w:rsidRPr="00791331" w:rsidRDefault="00B0676C" w:rsidP="006F07F5">
            <w:pPr>
              <w:tabs>
                <w:tab w:val="left" w:pos="709"/>
              </w:tabs>
              <w:jc w:val="center"/>
              <w:rPr>
                <w:rFonts w:ascii="Tahoma" w:hAnsi="Tahoma" w:cs="Tahoma"/>
                <w:snapToGrid w:val="0"/>
                <w:sz w:val="18"/>
                <w:szCs w:val="18"/>
              </w:rPr>
            </w:pPr>
            <w:r w:rsidRPr="00791331">
              <w:rPr>
                <w:rFonts w:ascii="Tahoma" w:hAnsi="Tahoma" w:cs="Tahoma"/>
                <w:snapToGrid w:val="0"/>
                <w:sz w:val="18"/>
                <w:szCs w:val="18"/>
              </w:rPr>
              <w:t>&lt;2%</w:t>
            </w:r>
          </w:p>
        </w:tc>
        <w:tc>
          <w:tcPr>
            <w:tcW w:w="4021" w:type="dxa"/>
            <w:vAlign w:val="center"/>
          </w:tcPr>
          <w:p w:rsidR="00B0676C" w:rsidRPr="00791331" w:rsidRDefault="00B0676C" w:rsidP="006D5911">
            <w:pPr>
              <w:tabs>
                <w:tab w:val="left" w:pos="595"/>
                <w:tab w:val="left" w:pos="709"/>
              </w:tabs>
              <w:ind w:left="142" w:right="62"/>
              <w:rPr>
                <w:rFonts w:ascii="Tahoma" w:hAnsi="Tahoma" w:cs="Tahoma"/>
                <w:snapToGrid w:val="0"/>
                <w:sz w:val="18"/>
                <w:szCs w:val="18"/>
              </w:rPr>
            </w:pPr>
            <w:r w:rsidRPr="00791331">
              <w:rPr>
                <w:rFonts w:ascii="Tahoma" w:hAnsi="Tahoma" w:cs="Tahoma"/>
                <w:snapToGrid w:val="0"/>
                <w:sz w:val="18"/>
                <w:szCs w:val="18"/>
              </w:rPr>
              <w:t>CLP:</w:t>
            </w:r>
            <w:r w:rsidRPr="00791331">
              <w:rPr>
                <w:rFonts w:ascii="Tahoma" w:hAnsi="Tahoma" w:cs="Tahoma"/>
                <w:snapToGrid w:val="0"/>
                <w:sz w:val="18"/>
                <w:szCs w:val="18"/>
              </w:rPr>
              <w:tab/>
              <w:t>Flam. Liq. 2, H225;</w:t>
            </w:r>
          </w:p>
          <w:p w:rsidR="00B0676C" w:rsidRPr="00791331" w:rsidRDefault="00B0676C" w:rsidP="00C124FE">
            <w:pPr>
              <w:tabs>
                <w:tab w:val="left" w:pos="595"/>
                <w:tab w:val="left" w:pos="709"/>
              </w:tabs>
              <w:spacing w:after="40"/>
              <w:ind w:left="142" w:right="62"/>
              <w:rPr>
                <w:rFonts w:ascii="Tahoma" w:hAnsi="Tahoma" w:cs="Tahoma"/>
                <w:snapToGrid w:val="0"/>
                <w:sz w:val="18"/>
                <w:szCs w:val="18"/>
              </w:rPr>
            </w:pPr>
            <w:r w:rsidRPr="00791331">
              <w:rPr>
                <w:rFonts w:ascii="Tahoma" w:hAnsi="Tahoma" w:cs="Tahoma"/>
                <w:snapToGrid w:val="0"/>
                <w:sz w:val="18"/>
                <w:szCs w:val="18"/>
              </w:rPr>
              <w:tab/>
              <w:t>Eye Irrit. 2, H319; STOT SE 3, H336</w:t>
            </w:r>
          </w:p>
        </w:tc>
      </w:tr>
      <w:tr w:rsidR="00B0676C" w:rsidRPr="009646CA">
        <w:trPr>
          <w:trHeight w:val="620"/>
          <w:jc w:val="center"/>
        </w:trPr>
        <w:tc>
          <w:tcPr>
            <w:tcW w:w="4308" w:type="dxa"/>
            <w:vAlign w:val="center"/>
          </w:tcPr>
          <w:p w:rsidR="00B0676C" w:rsidRPr="00791331" w:rsidRDefault="00B0676C" w:rsidP="00B234DF">
            <w:pPr>
              <w:spacing w:before="40"/>
              <w:ind w:left="147" w:right="62" w:hanging="3"/>
              <w:rPr>
                <w:rFonts w:ascii="Tahoma" w:hAnsi="Tahoma" w:cs="Tahoma"/>
                <w:snapToGrid w:val="0"/>
                <w:sz w:val="18"/>
                <w:szCs w:val="18"/>
              </w:rPr>
            </w:pPr>
            <w:r w:rsidRPr="00791331">
              <w:rPr>
                <w:rFonts w:ascii="Tahoma" w:hAnsi="Tahoma" w:cs="Tahoma"/>
                <w:snapToGrid w:val="0"/>
                <w:sz w:val="18"/>
                <w:szCs w:val="18"/>
              </w:rPr>
              <w:t>N-(3-aminopropil)-N-dodecil-propán-1,3-diamin**</w:t>
            </w:r>
          </w:p>
          <w:p w:rsidR="00B0676C" w:rsidRPr="00791331" w:rsidRDefault="00B0676C" w:rsidP="00B234DF">
            <w:pPr>
              <w:ind w:left="147" w:right="62" w:hanging="3"/>
              <w:rPr>
                <w:rFonts w:ascii="Tahoma" w:hAnsi="Tahoma" w:cs="Tahoma"/>
                <w:snapToGrid w:val="0"/>
                <w:sz w:val="18"/>
                <w:szCs w:val="18"/>
              </w:rPr>
            </w:pPr>
            <w:r w:rsidRPr="00791331">
              <w:rPr>
                <w:rFonts w:ascii="Tahoma" w:hAnsi="Tahoma" w:cs="Tahoma"/>
                <w:snapToGrid w:val="0"/>
                <w:sz w:val="18"/>
                <w:szCs w:val="18"/>
              </w:rPr>
              <w:t>CAS-szám: 2372-82-9</w:t>
            </w:r>
            <w:r w:rsidRPr="00791331">
              <w:rPr>
                <w:rFonts w:ascii="Tahoma" w:hAnsi="Tahoma" w:cs="Tahoma"/>
                <w:snapToGrid w:val="0"/>
                <w:sz w:val="18"/>
                <w:szCs w:val="18"/>
              </w:rPr>
              <w:tab/>
              <w:t>EK-szám: 219-145-8</w:t>
            </w:r>
          </w:p>
        </w:tc>
        <w:tc>
          <w:tcPr>
            <w:tcW w:w="850" w:type="dxa"/>
            <w:vAlign w:val="center"/>
          </w:tcPr>
          <w:p w:rsidR="00B0676C" w:rsidRPr="00791331" w:rsidRDefault="00B0676C" w:rsidP="00280409">
            <w:pPr>
              <w:spacing w:before="60"/>
              <w:ind w:left="62" w:right="62"/>
              <w:jc w:val="center"/>
              <w:rPr>
                <w:rFonts w:ascii="Tahoma" w:hAnsi="Tahoma" w:cs="Tahoma"/>
                <w:snapToGrid w:val="0"/>
                <w:sz w:val="18"/>
                <w:szCs w:val="18"/>
              </w:rPr>
            </w:pPr>
            <w:r w:rsidRPr="00791331">
              <w:rPr>
                <w:rFonts w:ascii="Tahoma" w:hAnsi="Tahoma" w:cs="Tahoma"/>
                <w:snapToGrid w:val="0"/>
                <w:sz w:val="18"/>
                <w:szCs w:val="18"/>
              </w:rPr>
              <w:t>&lt;1%</w:t>
            </w:r>
          </w:p>
        </w:tc>
        <w:tc>
          <w:tcPr>
            <w:tcW w:w="4021" w:type="dxa"/>
            <w:vAlign w:val="center"/>
          </w:tcPr>
          <w:p w:rsidR="00B0676C" w:rsidRDefault="00B0676C" w:rsidP="00BF3606">
            <w:pPr>
              <w:tabs>
                <w:tab w:val="left" w:pos="567"/>
              </w:tabs>
              <w:spacing w:before="60"/>
              <w:ind w:left="142" w:right="62"/>
              <w:rPr>
                <w:rFonts w:ascii="Tahoma" w:hAnsi="Tahoma" w:cs="Tahoma"/>
                <w:snapToGrid w:val="0"/>
                <w:sz w:val="18"/>
                <w:szCs w:val="18"/>
              </w:rPr>
            </w:pPr>
            <w:r w:rsidRPr="00791331">
              <w:rPr>
                <w:rFonts w:ascii="Tahoma" w:hAnsi="Tahoma" w:cs="Tahoma"/>
                <w:snapToGrid w:val="0"/>
                <w:sz w:val="18"/>
                <w:szCs w:val="18"/>
              </w:rPr>
              <w:t>CLP:</w:t>
            </w:r>
            <w:r w:rsidRPr="00791331">
              <w:rPr>
                <w:rFonts w:ascii="Tahoma" w:hAnsi="Tahoma" w:cs="Tahoma"/>
                <w:snapToGrid w:val="0"/>
                <w:sz w:val="18"/>
                <w:szCs w:val="18"/>
              </w:rPr>
              <w:tab/>
              <w:t xml:space="preserve">Acute Tox. (oral) 3, H301; </w:t>
            </w:r>
            <w:r w:rsidRPr="00791331">
              <w:rPr>
                <w:rFonts w:ascii="Tahoma" w:hAnsi="Tahoma" w:cs="Tahoma"/>
                <w:snapToGrid w:val="0"/>
                <w:sz w:val="18"/>
                <w:szCs w:val="18"/>
              </w:rPr>
              <w:br/>
            </w:r>
            <w:r w:rsidRPr="00791331">
              <w:rPr>
                <w:rFonts w:ascii="Tahoma" w:hAnsi="Tahoma" w:cs="Tahoma"/>
                <w:snapToGrid w:val="0"/>
                <w:sz w:val="18"/>
                <w:szCs w:val="18"/>
              </w:rPr>
              <w:tab/>
              <w:t xml:space="preserve">Skin Corr. 1A, H314; </w:t>
            </w:r>
            <w:r>
              <w:rPr>
                <w:rFonts w:ascii="Tahoma" w:hAnsi="Tahoma" w:cs="Tahoma"/>
                <w:snapToGrid w:val="0"/>
                <w:sz w:val="18"/>
                <w:szCs w:val="18"/>
              </w:rPr>
              <w:t>Eye Dam. 1, H318</w:t>
            </w:r>
          </w:p>
          <w:p w:rsidR="00B0676C" w:rsidRPr="00791331" w:rsidRDefault="00B0676C" w:rsidP="00B234DF">
            <w:pPr>
              <w:tabs>
                <w:tab w:val="left" w:pos="567"/>
              </w:tabs>
              <w:spacing w:after="20"/>
              <w:ind w:left="142" w:right="62"/>
              <w:rPr>
                <w:rFonts w:ascii="Tahoma" w:hAnsi="Tahoma" w:cs="Tahoma"/>
                <w:snapToGrid w:val="0"/>
                <w:sz w:val="18"/>
                <w:szCs w:val="18"/>
              </w:rPr>
            </w:pPr>
            <w:r>
              <w:rPr>
                <w:rFonts w:ascii="Tahoma" w:hAnsi="Tahoma" w:cs="Tahoma"/>
                <w:snapToGrid w:val="0"/>
                <w:sz w:val="18"/>
                <w:szCs w:val="18"/>
              </w:rPr>
              <w:tab/>
            </w:r>
            <w:r w:rsidRPr="00791331">
              <w:rPr>
                <w:rFonts w:ascii="Tahoma" w:hAnsi="Tahoma" w:cs="Tahoma"/>
                <w:snapToGrid w:val="0"/>
                <w:sz w:val="18"/>
                <w:szCs w:val="18"/>
              </w:rPr>
              <w:t>STOT RE 2, H373;</w:t>
            </w:r>
            <w:r>
              <w:rPr>
                <w:rFonts w:ascii="Tahoma" w:hAnsi="Tahoma" w:cs="Tahoma"/>
                <w:snapToGrid w:val="0"/>
                <w:sz w:val="18"/>
                <w:szCs w:val="18"/>
              </w:rPr>
              <w:t xml:space="preserve"> </w:t>
            </w:r>
            <w:r w:rsidRPr="00791331">
              <w:rPr>
                <w:rFonts w:ascii="Tahoma" w:hAnsi="Tahoma" w:cs="Tahoma"/>
                <w:snapToGrid w:val="0"/>
                <w:sz w:val="18"/>
                <w:szCs w:val="18"/>
              </w:rPr>
              <w:t>Aquatic Acute 1, H400</w:t>
            </w:r>
          </w:p>
        </w:tc>
      </w:tr>
    </w:tbl>
    <w:p w:rsidR="00B0676C" w:rsidRDefault="00B0676C" w:rsidP="006D5911">
      <w:pPr>
        <w:tabs>
          <w:tab w:val="left" w:pos="284"/>
        </w:tabs>
        <w:spacing w:before="120"/>
        <w:ind w:left="284" w:hanging="284"/>
        <w:jc w:val="both"/>
        <w:rPr>
          <w:rFonts w:ascii="Tahoma" w:hAnsi="Tahoma" w:cs="Tahoma"/>
          <w:snapToGrid w:val="0"/>
          <w:sz w:val="18"/>
          <w:szCs w:val="18"/>
        </w:rPr>
      </w:pPr>
      <w:r w:rsidRPr="00D80FB5">
        <w:rPr>
          <w:rFonts w:ascii="Tahoma" w:hAnsi="Tahoma" w:cs="Tahoma"/>
          <w:snapToGrid w:val="0"/>
          <w:sz w:val="18"/>
          <w:szCs w:val="18"/>
        </w:rPr>
        <w:t>*</w:t>
      </w:r>
      <w:r w:rsidRPr="00D80FB5">
        <w:rPr>
          <w:rFonts w:ascii="Tahoma" w:hAnsi="Tahoma" w:cs="Tahoma"/>
          <w:snapToGrid w:val="0"/>
          <w:sz w:val="18"/>
          <w:szCs w:val="18"/>
        </w:rPr>
        <w:tab/>
        <w:t>az anyag harmonizált uniós osztályozással rendelkezik, de a gyártói osztályozása az unióstól eltérő, az uniós osztályozás: Acute Tox.</w:t>
      </w:r>
      <w:r>
        <w:rPr>
          <w:rFonts w:ascii="Tahoma" w:hAnsi="Tahoma" w:cs="Tahoma"/>
          <w:snapToGrid w:val="0"/>
          <w:sz w:val="18"/>
          <w:szCs w:val="18"/>
        </w:rPr>
        <w:t xml:space="preserve"> (oral)</w:t>
      </w:r>
      <w:r w:rsidRPr="00D80FB5">
        <w:rPr>
          <w:rFonts w:ascii="Tahoma" w:hAnsi="Tahoma" w:cs="Tahoma"/>
          <w:snapToGrid w:val="0"/>
          <w:sz w:val="18"/>
          <w:szCs w:val="18"/>
        </w:rPr>
        <w:t xml:space="preserve"> 4, H302; Skin Corr. 1B, H314</w:t>
      </w:r>
      <w:r>
        <w:rPr>
          <w:rFonts w:ascii="Tahoma" w:hAnsi="Tahoma" w:cs="Tahoma"/>
          <w:snapToGrid w:val="0"/>
          <w:sz w:val="18"/>
          <w:szCs w:val="18"/>
        </w:rPr>
        <w:t>; lásd:</w:t>
      </w:r>
      <w:r w:rsidRPr="00D80FB5">
        <w:rPr>
          <w:rFonts w:ascii="Tahoma" w:hAnsi="Tahoma" w:cs="Tahoma"/>
          <w:snapToGrid w:val="0"/>
          <w:sz w:val="18"/>
          <w:szCs w:val="18"/>
        </w:rPr>
        <w:t xml:space="preserve"> </w:t>
      </w:r>
      <w:hyperlink r:id="rId9" w:history="1">
        <w:r w:rsidRPr="00D80FB5">
          <w:rPr>
            <w:rStyle w:val="Hyperlink"/>
            <w:rFonts w:ascii="Tahoma" w:hAnsi="Tahoma" w:cs="Tahoma"/>
            <w:snapToGrid w:val="0"/>
            <w:sz w:val="18"/>
            <w:szCs w:val="18"/>
          </w:rPr>
          <w:t>http://echa.europa.eu/hu/information-on-chemicals/cl-inventory-database/-/cl-inventory/view-notification-summary/134913</w:t>
        </w:r>
      </w:hyperlink>
    </w:p>
    <w:p w:rsidR="00B0676C" w:rsidRPr="00D80FB5" w:rsidRDefault="00B0676C" w:rsidP="006D5911">
      <w:pPr>
        <w:tabs>
          <w:tab w:val="left" w:pos="284"/>
        </w:tabs>
        <w:spacing w:before="120"/>
        <w:ind w:left="284" w:hanging="284"/>
        <w:jc w:val="both"/>
        <w:rPr>
          <w:rFonts w:ascii="Tahoma" w:hAnsi="Tahoma" w:cs="Tahoma"/>
          <w:snapToGrid w:val="0"/>
          <w:sz w:val="18"/>
          <w:szCs w:val="18"/>
        </w:rPr>
      </w:pPr>
      <w:r>
        <w:rPr>
          <w:rFonts w:ascii="Tahoma" w:hAnsi="Tahoma" w:cs="Tahoma"/>
          <w:snapToGrid w:val="0"/>
          <w:sz w:val="18"/>
          <w:szCs w:val="18"/>
        </w:rPr>
        <w:t>**</w:t>
      </w:r>
      <w:r w:rsidRPr="00857BC3">
        <w:rPr>
          <w:rFonts w:ascii="Tahoma" w:hAnsi="Tahoma" w:cs="Tahoma"/>
          <w:snapToGrid w:val="0"/>
          <w:sz w:val="18"/>
          <w:szCs w:val="18"/>
        </w:rPr>
        <w:t xml:space="preserve"> </w:t>
      </w:r>
      <w:r w:rsidRPr="00D80FB5">
        <w:rPr>
          <w:rFonts w:ascii="Tahoma" w:hAnsi="Tahoma" w:cs="Tahoma"/>
          <w:snapToGrid w:val="0"/>
          <w:sz w:val="18"/>
          <w:szCs w:val="18"/>
        </w:rPr>
        <w:t>az anyagnak nincs harmonizált uniós osztályozása, megadott besorolások a rendelkezésre álló gyártói adatlap alapján</w:t>
      </w:r>
      <w:r>
        <w:rPr>
          <w:rFonts w:ascii="Tahoma" w:hAnsi="Tahoma" w:cs="Tahoma"/>
          <w:snapToGrid w:val="0"/>
          <w:sz w:val="18"/>
          <w:szCs w:val="18"/>
        </w:rPr>
        <w:t xml:space="preserve"> került megadásra</w:t>
      </w:r>
    </w:p>
    <w:p w:rsidR="00B0676C" w:rsidRDefault="00B0676C" w:rsidP="00857BC3">
      <w:pPr>
        <w:spacing w:before="60"/>
        <w:jc w:val="both"/>
        <w:rPr>
          <w:rFonts w:ascii="Tahoma" w:hAnsi="Tahoma" w:cs="Tahoma"/>
          <w:sz w:val="18"/>
          <w:szCs w:val="18"/>
        </w:rPr>
      </w:pPr>
      <w:r w:rsidRPr="00EC65D8">
        <w:rPr>
          <w:rFonts w:ascii="Tahoma" w:hAnsi="Tahoma" w:cs="Tahoma"/>
          <w:snapToGrid w:val="0"/>
          <w:sz w:val="18"/>
          <w:szCs w:val="18"/>
        </w:rPr>
        <w:t xml:space="preserve">A készítmény egyéb komponensei (pl. </w:t>
      </w:r>
      <w:r>
        <w:rPr>
          <w:rFonts w:ascii="Tahoma" w:hAnsi="Tahoma" w:cs="Tahoma"/>
          <w:snapToGrid w:val="0"/>
          <w:sz w:val="18"/>
          <w:szCs w:val="18"/>
        </w:rPr>
        <w:t>nemionos felületaktív anyag, víz, sűrítő, stb.</w:t>
      </w:r>
      <w:r w:rsidRPr="00EC65D8">
        <w:rPr>
          <w:rFonts w:ascii="Tahoma" w:hAnsi="Tahoma" w:cs="Tahoma"/>
          <w:snapToGrid w:val="0"/>
          <w:sz w:val="18"/>
          <w:szCs w:val="18"/>
        </w:rPr>
        <w:t xml:space="preserve">) nem tekinthetők a hatályos jogszabályok szerint veszélyes anyagnak, vagy koncentrációjuk a készítményben nem éri el azt a mértéket, amely fölött jelenlétüket a veszélyesség szerinti besorolásnál fel kell tüntetni, illetve figyelembe kell venni. </w:t>
      </w:r>
      <w:r w:rsidRPr="00EC65D8">
        <w:rPr>
          <w:rFonts w:ascii="Tahoma" w:hAnsi="Tahoma" w:cs="Tahoma"/>
          <w:sz w:val="18"/>
          <w:szCs w:val="18"/>
        </w:rPr>
        <w:t xml:space="preserve">A veszélyjelek, </w:t>
      </w:r>
      <w:r>
        <w:rPr>
          <w:rFonts w:ascii="Tahoma" w:hAnsi="Tahoma" w:cs="Tahoma"/>
          <w:sz w:val="18"/>
          <w:szCs w:val="18"/>
        </w:rPr>
        <w:br/>
      </w:r>
      <w:r w:rsidRPr="00EC65D8">
        <w:rPr>
          <w:rFonts w:ascii="Tahoma" w:hAnsi="Tahoma" w:cs="Tahoma"/>
          <w:sz w:val="18"/>
          <w:szCs w:val="18"/>
        </w:rPr>
        <w:t>és H-mondatok, ill. a veszélyességi osztályok, a kategóriák a tiszta összetevőkre vonatkoznak, a termék veszélyesség szerinti besorolását a 2. szakasz adja meg.</w:t>
      </w:r>
    </w:p>
    <w:p w:rsidR="00B0676C" w:rsidRPr="00EC65D8" w:rsidRDefault="00B0676C" w:rsidP="00A15CE7">
      <w:pPr>
        <w:jc w:val="both"/>
        <w:rPr>
          <w:rFonts w:ascii="Tahoma" w:hAnsi="Tahoma" w:cs="Tahoma"/>
          <w:sz w:val="18"/>
          <w:szCs w:val="18"/>
        </w:rPr>
      </w:pPr>
      <w:r>
        <w:rPr>
          <w:rFonts w:ascii="Tahoma" w:hAnsi="Tahoma" w:cs="Tahoma"/>
          <w:sz w:val="18"/>
          <w:szCs w:val="18"/>
        </w:rPr>
        <w:t xml:space="preserve">A </w:t>
      </w:r>
      <w:r w:rsidRPr="00EC65D8">
        <w:rPr>
          <w:rFonts w:ascii="Tahoma" w:hAnsi="Tahoma" w:cs="Tahoma"/>
          <w:sz w:val="18"/>
          <w:szCs w:val="18"/>
        </w:rPr>
        <w:t>H-mondatok teljes szövegét lásd a 16. szakaszban.</w:t>
      </w:r>
    </w:p>
    <w:p w:rsidR="00B0676C" w:rsidRDefault="00B0676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B0676C" w:rsidRPr="005840A9" w:rsidRDefault="00B0676C"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beteggel folyadékot itatni vagy annál hányást kiváltani nem szabad! </w:t>
      </w:r>
    </w:p>
    <w:p w:rsidR="00B0676C" w:rsidRPr="005840A9" w:rsidRDefault="00B0676C" w:rsidP="00857BC3">
      <w:pPr>
        <w:pStyle w:val="BodyTextIndent"/>
        <w:spacing w:before="40"/>
        <w:ind w:left="0"/>
        <w:rPr>
          <w:b/>
          <w:bCs/>
        </w:rPr>
      </w:pPr>
      <w:r w:rsidRPr="005840A9">
        <w:rPr>
          <w:b/>
          <w:bCs/>
        </w:rPr>
        <w:t>4.1. Az elsősegély-nyújtási intézkedések ismertetése</w:t>
      </w:r>
    </w:p>
    <w:p w:rsidR="00B0676C" w:rsidRPr="001451C7" w:rsidRDefault="00B0676C" w:rsidP="00857BC3">
      <w:pPr>
        <w:pStyle w:val="BodyTextIndent"/>
        <w:spacing w:before="40"/>
        <w:ind w:left="0"/>
      </w:pPr>
      <w:r w:rsidRPr="001451C7">
        <w:rPr>
          <w:b/>
          <w:bCs/>
        </w:rPr>
        <w:t>Belélegzés esetén:</w:t>
      </w:r>
      <w:r w:rsidRPr="001451C7">
        <w:t xml:space="preserve"> </w:t>
      </w:r>
      <w:r>
        <w:t>nem releváns expozíció, a</w:t>
      </w:r>
      <w:r w:rsidRPr="001451C7">
        <w:t xml:space="preserve"> sérültet friss levegőre kell vinni</w:t>
      </w:r>
      <w:r>
        <w:t xml:space="preserve"> és</w:t>
      </w:r>
      <w:r w:rsidRPr="001451C7">
        <w:t xml:space="preserve"> nyugalomba helyezni.</w:t>
      </w:r>
    </w:p>
    <w:p w:rsidR="00B0676C" w:rsidRDefault="00B0676C" w:rsidP="00857BC3">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és</w:t>
      </w:r>
      <w:r>
        <w:t xml:space="preserve"> </w:t>
      </w:r>
      <w:r w:rsidRPr="001451C7">
        <w:t>forduljunk orvoshoz</w:t>
      </w:r>
      <w:r>
        <w:t>, mutassuk meg a címkét és vagy a biztonsági adatlapot.</w:t>
      </w:r>
      <w:r w:rsidRPr="00DE2F51">
        <w:t xml:space="preserve"> </w:t>
      </w:r>
      <w:r w:rsidRPr="001451C7">
        <w:t xml:space="preserve">NE HÁNYTASSUNK! </w:t>
      </w:r>
      <w:r>
        <w:t>Spontán hányás esetén v</w:t>
      </w:r>
      <w:r w:rsidRPr="005840A9">
        <w:t>igyáz</w:t>
      </w:r>
      <w:r>
        <w:t xml:space="preserve">nunk kell arra, </w:t>
      </w:r>
      <w:r w:rsidRPr="005840A9">
        <w:t>hogy a tüdőbe ne juthasson hab!</w:t>
      </w:r>
    </w:p>
    <w:p w:rsidR="00B0676C" w:rsidRPr="00675243" w:rsidRDefault="00B0676C" w:rsidP="00C33E54">
      <w:pPr>
        <w:pStyle w:val="BodyTextIndent"/>
        <w:spacing w:before="40"/>
        <w:ind w:left="0"/>
      </w:pPr>
      <w:r>
        <w:rPr>
          <w:b/>
          <w:bCs/>
        </w:rPr>
        <w:t>B</w:t>
      </w:r>
      <w:r w:rsidRPr="001451C7">
        <w:rPr>
          <w:b/>
          <w:bCs/>
        </w:rPr>
        <w:t xml:space="preserve">őrrel való érintkezés esetén: </w:t>
      </w:r>
      <w:r w:rsidRPr="0061080E">
        <w:t xml:space="preserve">véletlenszerű </w:t>
      </w:r>
      <w:r>
        <w:t xml:space="preserve">érintkezés, illetve </w:t>
      </w:r>
      <w:r w:rsidRPr="0061080E">
        <w:t xml:space="preserve">célzott felhasználás esetén is az érintett bőrfelületet, illetve a kézbőrt </w:t>
      </w:r>
      <w:r>
        <w:t xml:space="preserve">– </w:t>
      </w:r>
      <w:r w:rsidRPr="0061080E">
        <w:t>a hatá</w:t>
      </w:r>
      <w:r>
        <w:t xml:space="preserve">sidő letelte után – meleg folyó </w:t>
      </w:r>
      <w:r w:rsidRPr="001451C7">
        <w:t xml:space="preserve">vízzel alaposan le kell </w:t>
      </w:r>
      <w:r>
        <w:t>öblíteni.</w:t>
      </w:r>
    </w:p>
    <w:p w:rsidR="00B0676C" w:rsidRPr="001451C7" w:rsidRDefault="00B0676C" w:rsidP="00857BC3">
      <w:pPr>
        <w:pStyle w:val="BodyTextIndent"/>
        <w:spacing w:before="20"/>
        <w:ind w:left="0"/>
      </w:pPr>
      <w:r w:rsidRPr="001451C7">
        <w:rPr>
          <w:b/>
          <w:bCs/>
        </w:rPr>
        <w:t>Szembe kerülése esetén:</w:t>
      </w:r>
      <w:r w:rsidRPr="001451C7">
        <w:t xml:space="preserve"> </w:t>
      </w:r>
      <w:r>
        <w:t xml:space="preserve">alapos, 10 percig tartó </w:t>
      </w:r>
      <w:r w:rsidRPr="001451C7">
        <w:t xml:space="preserve">szemöblítést kell végezni folyóvízzel a szemhéjszélek széthúzása és a szemgolyó állandó mozgatása közben. </w:t>
      </w:r>
      <w:r>
        <w:t xml:space="preserve">Panaszok, tünetek állandósulása esetén </w:t>
      </w:r>
      <w:r w:rsidRPr="001451C7">
        <w:t>szakorvos</w:t>
      </w:r>
      <w:r>
        <w:t xml:space="preserve"> segítségét kell kérni</w:t>
      </w:r>
      <w:r w:rsidRPr="001451C7">
        <w:rPr>
          <w:lang w:val="en-US"/>
        </w:rPr>
        <w:t>!</w:t>
      </w:r>
    </w:p>
    <w:p w:rsidR="00B0676C" w:rsidRPr="0077222E" w:rsidRDefault="00B0676C" w:rsidP="00857BC3">
      <w:pPr>
        <w:pStyle w:val="BodyTextIndent"/>
        <w:spacing w:before="40"/>
        <w:ind w:left="0"/>
      </w:pPr>
      <w:r w:rsidRPr="005840A9">
        <w:rPr>
          <w:b/>
          <w:bCs/>
        </w:rPr>
        <w:t>4.2. A legfontosabb – akut és késleltetett – tünetek és hatások:</w:t>
      </w:r>
      <w:r>
        <w:rPr>
          <w:b/>
          <w:bCs/>
        </w:rPr>
        <w:t xml:space="preserve"> </w:t>
      </w:r>
      <w:r w:rsidRPr="0077222E">
        <w:t>irritál, szemkárosodást okoz</w:t>
      </w:r>
      <w:r>
        <w:t>.</w:t>
      </w:r>
      <w:r w:rsidRPr="0077222E">
        <w:t xml:space="preserve"> </w:t>
      </w:r>
      <w:r>
        <w:t>A</w:t>
      </w:r>
      <w:r w:rsidRPr="0077222E">
        <w:t xml:space="preserve"> tünetek súlyosbodhatnak, ha az elsősegélynyújtás nem volt alapos</w:t>
      </w:r>
      <w:r>
        <w:t>, az</w:t>
      </w:r>
      <w:r w:rsidRPr="0077222E">
        <w:t xml:space="preserve"> öblítés nem tartott megfelelő ideig. </w:t>
      </w:r>
    </w:p>
    <w:p w:rsidR="00B0676C" w:rsidRPr="00430026" w:rsidRDefault="00B0676C" w:rsidP="00A15CE7">
      <w:pPr>
        <w:pStyle w:val="BodyTextIndent"/>
        <w:spacing w:before="40"/>
        <w:ind w:left="0"/>
      </w:pPr>
      <w:r w:rsidRPr="005840A9">
        <w:rPr>
          <w:b/>
          <w:bCs/>
        </w:rPr>
        <w:t xml:space="preserve">4.3. A szükséges azonnali orvosi ellátás és különleges ellátás jelzése: </w:t>
      </w:r>
      <w:r>
        <w:t>ha</w:t>
      </w:r>
      <w:r w:rsidRPr="005840A9">
        <w:t xml:space="preserve"> mérgezési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B0676C" w:rsidRDefault="00B0676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B0676C" w:rsidRPr="0014339B" w:rsidRDefault="00B0676C"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sidRPr="0014339B">
        <w:rPr>
          <w:rFonts w:ascii="Tahoma" w:hAnsi="Tahoma" w:cs="Tahoma"/>
          <w:snapToGrid w:val="0"/>
        </w:rPr>
        <w:t>szokásos oltóanyagok (vízpermet, oltópor, oltóhab, szén-dioxid). A környezetben égő anyagok alapján kell meghatározni.</w:t>
      </w:r>
    </w:p>
    <w:p w:rsidR="00B0676C" w:rsidRPr="0014339B" w:rsidRDefault="00B0676C"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veszélyes égéstermékek: szén-oxidok, nitrogén-oxidok</w:t>
      </w:r>
      <w:r>
        <w:rPr>
          <w:rFonts w:ascii="Tahoma" w:hAnsi="Tahoma" w:cs="Tahoma"/>
          <w:snapToGrid w:val="0"/>
          <w:spacing w:val="-2"/>
        </w:rPr>
        <w:t>, halogéntartalmú vegyületek.</w:t>
      </w:r>
    </w:p>
    <w:p w:rsidR="00B0676C" w:rsidRPr="0014339B" w:rsidRDefault="00B0676C"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A szennyezett tűzoltóvizet külön kell gyűjteni, ne engedjük a csatornába</w:t>
      </w:r>
      <w:r>
        <w:rPr>
          <w:rFonts w:ascii="Tahoma" w:hAnsi="Tahoma" w:cs="Tahoma"/>
          <w:snapToGrid w:val="0"/>
        </w:rPr>
        <w:t>.</w:t>
      </w:r>
    </w:p>
    <w:p w:rsidR="00B0676C" w:rsidRPr="00A254C1" w:rsidRDefault="00B0676C" w:rsidP="00616803">
      <w:pPr>
        <w:spacing w:before="60"/>
        <w:jc w:val="both"/>
        <w:rPr>
          <w:rFonts w:ascii="Tahoma" w:hAnsi="Tahoma" w:cs="Tahoma"/>
          <w:snapToGrid w:val="0"/>
        </w:rPr>
      </w:pPr>
      <w:r w:rsidRPr="00A254C1">
        <w:rPr>
          <w:rFonts w:ascii="Tahoma" w:hAnsi="Tahoma" w:cs="Tahoma"/>
          <w:b/>
          <w:bCs/>
          <w:snapToGrid w:val="0"/>
        </w:rPr>
        <w:t>Egyéb információk:</w:t>
      </w:r>
      <w:r w:rsidRPr="00A254C1">
        <w:rPr>
          <w:rFonts w:ascii="Tahoma" w:hAnsi="Tahoma" w:cs="Tahoma"/>
          <w:snapToGrid w:val="0"/>
        </w:rPr>
        <w:t xml:space="preserve"> a termék maga nem tűzveszélyes</w:t>
      </w:r>
      <w:r>
        <w:rPr>
          <w:rFonts w:ascii="Tahoma" w:hAnsi="Tahoma" w:cs="Tahoma"/>
          <w:snapToGrid w:val="0"/>
        </w:rPr>
        <w:t>, 2%-nál kevesebb tűzveszélyes oldószert (izopropanol) tartalmaz.</w:t>
      </w:r>
    </w:p>
    <w:p w:rsidR="00B0676C" w:rsidRDefault="00B0676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B0676C" w:rsidRPr="0014339B" w:rsidRDefault="00B0676C"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616803">
        <w:rPr>
          <w:rFonts w:ascii="Tahoma" w:hAnsi="Tahoma" w:cs="Tahoma"/>
          <w:snapToGrid w:val="0"/>
        </w:rPr>
        <w:t>személy</w:t>
      </w:r>
      <w:r>
        <w:rPr>
          <w:rFonts w:ascii="Tahoma" w:hAnsi="Tahoma" w:cs="Tahoma"/>
          <w:snapToGrid w:val="0"/>
        </w:rPr>
        <w:t>i</w:t>
      </w:r>
      <w:r w:rsidRPr="00616803">
        <w:rPr>
          <w:rFonts w:ascii="Tahoma" w:hAnsi="Tahoma" w:cs="Tahoma"/>
          <w:snapToGrid w:val="0"/>
        </w:rPr>
        <w:t xml:space="preserve"> védőfelszerelés szükséges mentesítés esetén</w:t>
      </w:r>
      <w:r>
        <w:rPr>
          <w:rFonts w:ascii="Tahoma" w:hAnsi="Tahoma" w:cs="Tahoma"/>
          <w:snapToGrid w:val="0"/>
        </w:rPr>
        <w:t>,</w:t>
      </w:r>
      <w:r w:rsidRPr="00616803">
        <w:rPr>
          <w:rFonts w:ascii="Tahoma" w:hAnsi="Tahoma" w:cs="Tahoma"/>
          <w:snapToGrid w:val="0"/>
          <w:spacing w:val="-2"/>
        </w:rPr>
        <w:t xml:space="preserve"> lá</w:t>
      </w:r>
      <w:r w:rsidRPr="0014339B">
        <w:rPr>
          <w:rFonts w:ascii="Tahoma" w:hAnsi="Tahoma" w:cs="Tahoma"/>
          <w:snapToGrid w:val="0"/>
          <w:spacing w:val="-2"/>
        </w:rPr>
        <w:t xml:space="preserve">sd a 8. szakaszt. </w:t>
      </w:r>
      <w:r w:rsidRPr="0014339B">
        <w:rPr>
          <w:rFonts w:ascii="Tahoma" w:hAnsi="Tahoma" w:cs="Tahoma"/>
          <w:b/>
          <w:bCs/>
          <w:snapToGrid w:val="0"/>
          <w:spacing w:val="-2"/>
        </w:rPr>
        <w:t>Ügyeljünk a csúszásveszélyre!</w:t>
      </w:r>
    </w:p>
    <w:p w:rsidR="00B0676C" w:rsidRDefault="00B0676C" w:rsidP="00616803">
      <w:pPr>
        <w:spacing w:before="60"/>
        <w:jc w:val="both"/>
        <w:rPr>
          <w:rFonts w:ascii="Tahoma" w:hAnsi="Tahoma" w:cs="Tahoma"/>
          <w:snapToGrid w:val="0"/>
        </w:rPr>
      </w:pPr>
      <w:r w:rsidRPr="0014339B">
        <w:rPr>
          <w:rFonts w:ascii="Tahoma" w:hAnsi="Tahoma" w:cs="Tahoma"/>
          <w:b/>
          <w:bCs/>
          <w:snapToGrid w:val="0"/>
        </w:rPr>
        <w:t>6.2. Környezetvédelmi óvintézkedések</w:t>
      </w:r>
      <w:r>
        <w:rPr>
          <w:rFonts w:ascii="Tahoma" w:hAnsi="Tahoma" w:cs="Tahoma"/>
          <w:b/>
          <w:bCs/>
          <w:snapToGrid w:val="0"/>
        </w:rPr>
        <w:t xml:space="preserve">: </w:t>
      </w:r>
      <w:r>
        <w:rPr>
          <w:rFonts w:ascii="Tahoma" w:hAnsi="Tahoma" w:cs="Tahoma"/>
        </w:rPr>
        <w:t>ne engedjük, hogy a</w:t>
      </w:r>
      <w:r w:rsidRPr="0014339B">
        <w:rPr>
          <w:rFonts w:ascii="Tahoma" w:hAnsi="Tahoma" w:cs="Tahoma"/>
        </w:rPr>
        <w:t xml:space="preserve"> kiömlött </w:t>
      </w:r>
      <w:r>
        <w:rPr>
          <w:rFonts w:ascii="Tahoma" w:hAnsi="Tahoma" w:cs="Tahoma"/>
        </w:rPr>
        <w:t>termék</w:t>
      </w:r>
      <w:r w:rsidRPr="0014339B">
        <w:rPr>
          <w:rFonts w:ascii="Tahoma" w:hAnsi="Tahoma" w:cs="Tahoma"/>
        </w:rPr>
        <w:t xml:space="preserve"> a csatornába</w:t>
      </w:r>
      <w:r>
        <w:rPr>
          <w:rFonts w:ascii="Tahoma" w:hAnsi="Tahoma" w:cs="Tahoma"/>
        </w:rPr>
        <w:t>,</w:t>
      </w:r>
      <w:r w:rsidRPr="0014339B">
        <w:rPr>
          <w:rFonts w:ascii="Tahoma" w:hAnsi="Tahoma" w:cs="Tahoma"/>
        </w:rPr>
        <w:t xml:space="preserve"> élő vizekbe</w:t>
      </w:r>
      <w:r>
        <w:rPr>
          <w:rFonts w:ascii="Tahoma" w:hAnsi="Tahoma" w:cs="Tahoma"/>
        </w:rPr>
        <w:t>, talajba jusson</w:t>
      </w:r>
      <w:r w:rsidRPr="0014339B">
        <w:rPr>
          <w:rFonts w:ascii="Tahoma" w:hAnsi="Tahoma" w:cs="Tahoma"/>
        </w:rPr>
        <w:t>! A h</w:t>
      </w:r>
      <w:r w:rsidRPr="0014339B">
        <w:rPr>
          <w:rFonts w:ascii="Tahoma" w:hAnsi="Tahoma" w:cs="Tahoma"/>
          <w:snapToGrid w:val="0"/>
        </w:rPr>
        <w:t xml:space="preserve">ulladékkezelés, a megsemmisítés a helyi előírásoknak megfelelően történjen. </w:t>
      </w:r>
    </w:p>
    <w:p w:rsidR="00B0676C" w:rsidRPr="0014339B" w:rsidRDefault="00B0676C" w:rsidP="00616803">
      <w:pPr>
        <w:spacing w:before="60"/>
        <w:jc w:val="both"/>
        <w:rPr>
          <w:rFonts w:ascii="Tahoma" w:hAnsi="Tahoma" w:cs="Tahoma"/>
          <w:snapToGrid w:val="0"/>
        </w:rPr>
      </w:pPr>
      <w:r w:rsidRPr="0014339B">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snapToGrid w:val="0"/>
        </w:rPr>
        <w:t>n</w:t>
      </w:r>
      <w:r w:rsidRPr="0014339B">
        <w:rPr>
          <w:rFonts w:ascii="Tahoma" w:hAnsi="Tahoma" w:cs="Tahoma"/>
          <w:snapToGrid w:val="0"/>
        </w:rPr>
        <w:t xml:space="preserve">agy mennyiségű terméket </w:t>
      </w:r>
      <w:r>
        <w:rPr>
          <w:rFonts w:ascii="Tahoma" w:hAnsi="Tahoma" w:cs="Tahoma"/>
          <w:snapToGrid w:val="0"/>
        </w:rPr>
        <w:t xml:space="preserve">inert, </w:t>
      </w:r>
      <w:r w:rsidRPr="0014339B">
        <w:rPr>
          <w:rFonts w:ascii="Tahoma" w:hAnsi="Tahoma" w:cs="Tahoma"/>
          <w:snapToGrid w:val="0"/>
        </w:rPr>
        <w:t>folyadékfelszívó anyaggal (pl. homok, vermikulit, föld) kell befedni, felitatni</w:t>
      </w:r>
      <w:r>
        <w:rPr>
          <w:rFonts w:ascii="Tahoma" w:hAnsi="Tahoma" w:cs="Tahoma"/>
          <w:snapToGrid w:val="0"/>
        </w:rPr>
        <w:t xml:space="preserve">, </w:t>
      </w:r>
      <w:r w:rsidRPr="0014339B">
        <w:rPr>
          <w:rFonts w:ascii="Tahoma" w:hAnsi="Tahoma" w:cs="Tahoma"/>
          <w:snapToGrid w:val="0"/>
        </w:rPr>
        <w:t>a helyi előírásoknak megfelelően megsemmisíteni. A maradékot bő vizes felmosással lehet feltakarítani, sok vízzel kell öblíteni. Kis mennyiségű kiömlött termék sok vízzel leöblítve a csatornába kerülhet.</w:t>
      </w:r>
    </w:p>
    <w:p w:rsidR="00B0676C" w:rsidRPr="0014339B" w:rsidRDefault="00B0676C"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p>
    <w:p w:rsidR="00B0676C" w:rsidRDefault="00B0676C"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B0676C" w:rsidRPr="000E1DD2" w:rsidRDefault="00B0676C" w:rsidP="000E1DD2">
      <w:pPr>
        <w:pStyle w:val="BodyTextIndent"/>
        <w:keepNext/>
        <w:ind w:left="0"/>
      </w:pPr>
      <w:r w:rsidRPr="0014339B">
        <w:rPr>
          <w:b/>
          <w:bCs/>
        </w:rPr>
        <w:t>7.1. A biztonságos kezelésre irányuló óvintézkedések</w:t>
      </w:r>
      <w:r>
        <w:rPr>
          <w:b/>
          <w:bCs/>
        </w:rPr>
        <w:t xml:space="preserve">: </w:t>
      </w:r>
      <w:r w:rsidRPr="0014339B">
        <w:t>Kövessük a címkén található használati utasítást</w:t>
      </w:r>
      <w:r>
        <w:t xml:space="preserve">! </w:t>
      </w:r>
      <w:r w:rsidRPr="0014339B">
        <w:t xml:space="preserve">Szakszerű alkalmazás esetén a 8. szakaszban előírtak betartásán túl nem szükséges egyéb intézkedés. </w:t>
      </w:r>
      <w:r>
        <w:t xml:space="preserve">Előzzük meg </w:t>
      </w:r>
      <w:r w:rsidRPr="000E1DD2">
        <w:t xml:space="preserve">a </w:t>
      </w:r>
      <w:r>
        <w:t xml:space="preserve">termék </w:t>
      </w:r>
      <w:r w:rsidRPr="000E1DD2">
        <w:t xml:space="preserve">kifröccsenését, kiömlését, szembejutását. A padozatra jutva csúszásveszélyt okoz. </w:t>
      </w:r>
    </w:p>
    <w:p w:rsidR="00B0676C" w:rsidRPr="00293D58" w:rsidRDefault="00B0676C" w:rsidP="00C110D4">
      <w:pPr>
        <w:pStyle w:val="BodyTextIndent"/>
        <w:ind w:left="0"/>
      </w:pPr>
      <w:r w:rsidRPr="008D5244">
        <w:rPr>
          <w:b/>
          <w:bCs/>
        </w:rPr>
        <w:t>Tűz- és robbanásvédelem:</w:t>
      </w:r>
      <w:r w:rsidRPr="008D5244">
        <w:t xml:space="preserve"> speciális intézkedés nem szükséges.</w:t>
      </w:r>
    </w:p>
    <w:p w:rsidR="00B0676C" w:rsidRPr="0014339B" w:rsidRDefault="00B0676C" w:rsidP="00C110D4">
      <w:pPr>
        <w:pStyle w:val="BodyTextIndent"/>
        <w:ind w:left="0"/>
        <w:rPr>
          <w:b/>
          <w:bCs/>
        </w:rPr>
      </w:pPr>
      <w:r w:rsidRPr="0014339B">
        <w:rPr>
          <w:b/>
          <w:bCs/>
        </w:rPr>
        <w:t>7.2. A biztonságos tárolás feltételei, az esetleges összeférhetetlenséggel együtt</w:t>
      </w:r>
    </w:p>
    <w:p w:rsidR="00B0676C" w:rsidRPr="000E1DD2" w:rsidRDefault="00B0676C" w:rsidP="000E1DD2">
      <w:pPr>
        <w:jc w:val="both"/>
        <w:rPr>
          <w:rFonts w:ascii="Tahoma" w:hAnsi="Tahoma" w:cs="Tahoma"/>
        </w:rPr>
      </w:pPr>
      <w:r w:rsidRPr="000E1DD2">
        <w:rPr>
          <w:rFonts w:ascii="Tahoma" w:hAnsi="Tahoma" w:cs="Tahoma"/>
        </w:rPr>
        <w:t>Eredeti, bontatlan csomagolásban, hőtől, fagytól védve, hűvös helyen tartandó! Élelmiszerektől, italoktól, oxidálószerek</w:t>
      </w:r>
      <w:r>
        <w:rPr>
          <w:rFonts w:ascii="Tahoma" w:hAnsi="Tahoma" w:cs="Tahoma"/>
        </w:rPr>
        <w:t xml:space="preserve">től, savaktól </w:t>
      </w:r>
      <w:r w:rsidRPr="000E1DD2">
        <w:rPr>
          <w:rFonts w:ascii="Tahoma" w:hAnsi="Tahoma" w:cs="Tahoma"/>
        </w:rPr>
        <w:t>elkülönítve tároljuk. Gyermekek kezébe nem kerülhet</w:t>
      </w:r>
      <w:r>
        <w:rPr>
          <w:rFonts w:ascii="Tahoma" w:hAnsi="Tahoma" w:cs="Tahoma"/>
        </w:rPr>
        <w:t>!</w:t>
      </w:r>
    </w:p>
    <w:p w:rsidR="00B0676C" w:rsidRPr="0014339B" w:rsidRDefault="00B0676C"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tisztító hatású higiénés kézfertőtlenítő szer.</w:t>
      </w:r>
      <w:r w:rsidRPr="0014339B">
        <w:rPr>
          <w:rFonts w:ascii="Tahoma" w:hAnsi="Tahoma" w:cs="Tahoma"/>
        </w:rPr>
        <w:t xml:space="preserve"> A felhasználók köre: lakossági és foglalkozásszerű. A felhasználók mindig olvassák el a használati útmutatót, és tartsák be a biztonságos kezelésre és felhasználásra vonatkozó utasításokat.</w:t>
      </w:r>
    </w:p>
    <w:p w:rsidR="00B0676C" w:rsidRDefault="00B0676C"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B0676C" w:rsidRDefault="00B0676C" w:rsidP="009A1225">
      <w:pPr>
        <w:pStyle w:val="BodyTextIndent"/>
        <w:spacing w:before="0"/>
        <w:ind w:left="0"/>
        <w:rPr>
          <w:b/>
          <w:bCs/>
        </w:rPr>
      </w:pPr>
      <w:r>
        <w:rPr>
          <w:b/>
          <w:bCs/>
        </w:rPr>
        <w:t>8.1. Ellenőrzési paraméterek</w:t>
      </w:r>
    </w:p>
    <w:p w:rsidR="00B0676C" w:rsidRDefault="00B0676C" w:rsidP="009A1225">
      <w:pPr>
        <w:pStyle w:val="BodyTextIndent"/>
        <w:spacing w:before="0"/>
        <w:ind w:left="0"/>
      </w:pPr>
      <w:r w:rsidRPr="002355E9">
        <w:rPr>
          <w:b/>
          <w:bCs/>
        </w:rPr>
        <w:t>Foglalkozási expozíciós határértékek</w:t>
      </w:r>
      <w:r w:rsidRPr="002355E9">
        <w:t xml:space="preserve"> (a munkahelyi levegőben megengedett határérték): </w:t>
      </w:r>
    </w:p>
    <w:p w:rsidR="00B0676C" w:rsidRPr="00852F66" w:rsidRDefault="00B0676C" w:rsidP="009A1225">
      <w:pPr>
        <w:pStyle w:val="BodyTextIndent"/>
        <w:spacing w:before="0"/>
        <w:ind w:left="0"/>
      </w:pPr>
      <w:r w:rsidRPr="00852F66">
        <w:t>Izopr</w:t>
      </w:r>
      <w:r>
        <w:t>opanol</w:t>
      </w:r>
      <w:r w:rsidRPr="00852F66">
        <w:t>: ÁK</w:t>
      </w:r>
      <w:r>
        <w:rPr>
          <w:rStyle w:val="FootnoteReference"/>
        </w:rPr>
        <w:footnoteReference w:id="2"/>
      </w:r>
      <w:r w:rsidRPr="00852F66">
        <w:t>: 500 mg/m</w:t>
      </w:r>
      <w:r w:rsidRPr="00852F66">
        <w:rPr>
          <w:vertAlign w:val="superscript"/>
        </w:rPr>
        <w:t>3</w:t>
      </w:r>
      <w:r w:rsidRPr="00852F66">
        <w:t>, CK</w:t>
      </w:r>
      <w:r>
        <w:rPr>
          <w:rStyle w:val="FootnoteReference"/>
        </w:rPr>
        <w:footnoteReference w:id="3"/>
      </w:r>
      <w:r w:rsidRPr="00852F66">
        <w:t>:</w:t>
      </w:r>
      <w:r>
        <w:t xml:space="preserve"> </w:t>
      </w:r>
      <w:r w:rsidRPr="00852F66">
        <w:t>2000</w:t>
      </w:r>
      <w:r w:rsidRPr="003C1831">
        <w:t xml:space="preserve"> </w:t>
      </w:r>
      <w:r w:rsidRPr="00852F66">
        <w:t>mg/m</w:t>
      </w:r>
      <w:r w:rsidRPr="00852F66">
        <w:rPr>
          <w:vertAlign w:val="superscript"/>
        </w:rPr>
        <w:t>3</w:t>
      </w:r>
      <w:r w:rsidRPr="00BA466D">
        <w:t xml:space="preserve"> </w:t>
      </w:r>
      <w:r>
        <w:t xml:space="preserve">— </w:t>
      </w:r>
      <w:r w:rsidRPr="00BA466D">
        <w:t>25/2000. (IX.30.) EüM-SzCsM</w:t>
      </w:r>
    </w:p>
    <w:p w:rsidR="00B0676C" w:rsidRPr="00630FE0" w:rsidRDefault="00B0676C" w:rsidP="009A1225">
      <w:pPr>
        <w:pStyle w:val="Default"/>
        <w:tabs>
          <w:tab w:val="left" w:pos="2835"/>
        </w:tabs>
        <w:autoSpaceDE/>
        <w:autoSpaceDN/>
        <w:adjustRightInd/>
        <w:spacing w:before="120"/>
        <w:jc w:val="both"/>
        <w:rPr>
          <w:rFonts w:ascii="Tahoma" w:hAnsi="Tahoma" w:cs="Tahoma"/>
          <w:b/>
          <w:bCs/>
          <w:sz w:val="20"/>
          <w:szCs w:val="20"/>
        </w:rPr>
      </w:pPr>
      <w:r>
        <w:rPr>
          <w:rFonts w:ascii="Tahoma" w:hAnsi="Tahoma" w:cs="Tahoma"/>
          <w:b/>
          <w:bCs/>
          <w:sz w:val="20"/>
          <w:szCs w:val="20"/>
        </w:rPr>
        <w:t>A</w:t>
      </w:r>
      <w:r w:rsidRPr="00630FE0">
        <w:rPr>
          <w:rFonts w:ascii="Tahoma" w:hAnsi="Tahoma" w:cs="Tahoma"/>
          <w:b/>
          <w:bCs/>
          <w:sz w:val="20"/>
          <w:szCs w:val="20"/>
        </w:rPr>
        <w:t xml:space="preserve"> </w:t>
      </w:r>
      <w:r>
        <w:rPr>
          <w:rFonts w:ascii="Tahoma" w:hAnsi="Tahoma" w:cs="Tahoma"/>
          <w:b/>
          <w:bCs/>
          <w:sz w:val="20"/>
          <w:szCs w:val="20"/>
        </w:rPr>
        <w:t>DNEL</w:t>
      </w:r>
      <w:r>
        <w:rPr>
          <w:rStyle w:val="FootnoteReference"/>
          <w:rFonts w:ascii="Tahoma" w:hAnsi="Tahoma" w:cs="Tahoma"/>
          <w:b/>
          <w:bCs/>
          <w:sz w:val="20"/>
          <w:szCs w:val="20"/>
        </w:rPr>
        <w:footnoteReference w:id="4"/>
      </w:r>
      <w:r>
        <w:rPr>
          <w:rFonts w:ascii="Tahoma" w:hAnsi="Tahoma" w:cs="Tahoma"/>
          <w:b/>
          <w:bCs/>
          <w:sz w:val="20"/>
          <w:szCs w:val="20"/>
        </w:rPr>
        <w:t xml:space="preserve"> és PEC</w:t>
      </w:r>
      <w:r>
        <w:rPr>
          <w:rStyle w:val="FootnoteReference"/>
          <w:rFonts w:ascii="Tahoma" w:hAnsi="Tahoma" w:cs="Tahoma"/>
          <w:b/>
          <w:bCs/>
          <w:sz w:val="20"/>
          <w:szCs w:val="20"/>
        </w:rPr>
        <w:footnoteReference w:id="5"/>
      </w:r>
      <w:r>
        <w:rPr>
          <w:rFonts w:ascii="Tahoma" w:hAnsi="Tahoma" w:cs="Tahoma"/>
          <w:b/>
          <w:bCs/>
          <w:sz w:val="20"/>
          <w:szCs w:val="20"/>
        </w:rPr>
        <w:t xml:space="preserve"> értékek:</w:t>
      </w:r>
    </w:p>
    <w:p w:rsidR="00B0676C" w:rsidRPr="009A1225" w:rsidRDefault="00B0676C" w:rsidP="009C1D9A">
      <w:pPr>
        <w:pStyle w:val="BodyTextIndent"/>
        <w:keepNext/>
        <w:spacing w:before="0"/>
        <w:ind w:left="0" w:firstLine="284"/>
        <w:rPr>
          <w:b/>
          <w:bCs/>
        </w:rPr>
      </w:pPr>
      <w:r>
        <w:rPr>
          <w:b/>
          <w:bCs/>
        </w:rPr>
        <w:t>D</w:t>
      </w:r>
      <w:r w:rsidRPr="009A1225">
        <w:rPr>
          <w:b/>
          <w:bCs/>
        </w:rPr>
        <w:t>idecil-dimetil-ammónium-klorid</w:t>
      </w:r>
      <w:r>
        <w:rPr>
          <w:b/>
          <w:bCs/>
        </w:rPr>
        <w:t>/f</w:t>
      </w:r>
      <w:r w:rsidRPr="007840C7">
        <w:rPr>
          <w:b/>
          <w:bCs/>
          <w:snapToGrid w:val="0"/>
        </w:rPr>
        <w:t>oglalkozásszerű felhasználók</w:t>
      </w:r>
    </w:p>
    <w:p w:rsidR="00B0676C" w:rsidRDefault="00B0676C" w:rsidP="009C1D9A">
      <w:pPr>
        <w:keepNext/>
        <w:tabs>
          <w:tab w:val="left" w:pos="1418"/>
          <w:tab w:val="left" w:pos="1701"/>
          <w:tab w:val="left" w:pos="2835"/>
        </w:tabs>
        <w:ind w:right="62" w:firstLine="284"/>
        <w:rPr>
          <w:rFonts w:ascii="Tahoma" w:hAnsi="Tahoma" w:cs="Tahoma"/>
        </w:rPr>
      </w:pPr>
      <w:r w:rsidRPr="00891EAF">
        <w:rPr>
          <w:rFonts w:ascii="Tahoma" w:hAnsi="Tahoma" w:cs="Tahoma"/>
          <w:snapToGrid w:val="0"/>
        </w:rPr>
        <w:t xml:space="preserve">DNEL (inhalációs expozíció, hosszú távú, </w:t>
      </w:r>
      <w:r>
        <w:rPr>
          <w:rFonts w:ascii="Tahoma" w:hAnsi="Tahoma" w:cs="Tahoma"/>
          <w:snapToGrid w:val="0"/>
        </w:rPr>
        <w:t>szisztémás hatás</w:t>
      </w:r>
      <w:r w:rsidRPr="00891EAF">
        <w:rPr>
          <w:rFonts w:ascii="Tahoma" w:hAnsi="Tahoma" w:cs="Tahoma"/>
          <w:snapToGrid w:val="0"/>
        </w:rPr>
        <w:t xml:space="preserve">): </w:t>
      </w:r>
      <w:r>
        <w:rPr>
          <w:rFonts w:ascii="Tahoma" w:hAnsi="Tahoma" w:cs="Tahoma"/>
          <w:snapToGrid w:val="0"/>
        </w:rPr>
        <w:t>18,2</w:t>
      </w:r>
      <w:r w:rsidRPr="00891EAF">
        <w:rPr>
          <w:rFonts w:ascii="Tahoma" w:hAnsi="Tahoma" w:cs="Tahoma"/>
        </w:rPr>
        <w:t xml:space="preserve"> mg/</w:t>
      </w:r>
      <w:r>
        <w:rPr>
          <w:rFonts w:ascii="Tahoma" w:hAnsi="Tahoma" w:cs="Tahoma"/>
        </w:rPr>
        <w:t>m</w:t>
      </w:r>
      <w:r w:rsidRPr="00BB54E4">
        <w:rPr>
          <w:rFonts w:ascii="Tahoma" w:hAnsi="Tahoma" w:cs="Tahoma"/>
          <w:vertAlign w:val="superscript"/>
        </w:rPr>
        <w:t>3</w:t>
      </w:r>
    </w:p>
    <w:p w:rsidR="00B0676C" w:rsidRDefault="00B0676C" w:rsidP="009C1D9A">
      <w:pPr>
        <w:tabs>
          <w:tab w:val="left" w:pos="1418"/>
          <w:tab w:val="left" w:pos="1701"/>
          <w:tab w:val="left" w:pos="2835"/>
        </w:tabs>
        <w:ind w:right="62" w:firstLine="284"/>
        <w:rPr>
          <w:rFonts w:ascii="Tahoma" w:hAnsi="Tahoma" w:cs="Tahoma"/>
        </w:rPr>
      </w:pPr>
      <w:r w:rsidRPr="00891EAF">
        <w:rPr>
          <w:rFonts w:ascii="Tahoma" w:hAnsi="Tahoma" w:cs="Tahoma"/>
          <w:snapToGrid w:val="0"/>
        </w:rPr>
        <w:t>DNEL (</w:t>
      </w:r>
      <w:r>
        <w:rPr>
          <w:rFonts w:ascii="Tahoma" w:hAnsi="Tahoma" w:cs="Tahoma"/>
          <w:snapToGrid w:val="0"/>
        </w:rPr>
        <w:t>dermális</w:t>
      </w:r>
      <w:r w:rsidRPr="00891EAF">
        <w:rPr>
          <w:rFonts w:ascii="Tahoma" w:hAnsi="Tahoma" w:cs="Tahoma"/>
          <w:snapToGrid w:val="0"/>
        </w:rPr>
        <w:t xml:space="preserve"> expozíció, hosszú távú, </w:t>
      </w:r>
      <w:r>
        <w:rPr>
          <w:rFonts w:ascii="Tahoma" w:hAnsi="Tahoma" w:cs="Tahoma"/>
          <w:snapToGrid w:val="0"/>
        </w:rPr>
        <w:t>szisztémás hatás</w:t>
      </w:r>
      <w:r w:rsidRPr="00891EAF">
        <w:rPr>
          <w:rFonts w:ascii="Tahoma" w:hAnsi="Tahoma" w:cs="Tahoma"/>
          <w:snapToGrid w:val="0"/>
        </w:rPr>
        <w:t xml:space="preserve">): </w:t>
      </w:r>
      <w:r>
        <w:rPr>
          <w:rFonts w:ascii="Tahoma" w:hAnsi="Tahoma" w:cs="Tahoma"/>
          <w:snapToGrid w:val="0"/>
        </w:rPr>
        <w:t>8,6</w:t>
      </w:r>
      <w:r w:rsidRPr="00891EAF">
        <w:rPr>
          <w:rFonts w:ascii="Tahoma" w:hAnsi="Tahoma" w:cs="Tahoma"/>
        </w:rPr>
        <w:t xml:space="preserve"> mg/ttkg</w:t>
      </w:r>
      <w:r>
        <w:rPr>
          <w:rFonts w:ascii="Tahoma" w:hAnsi="Tahoma" w:cs="Tahoma"/>
        </w:rPr>
        <w:t>/nap</w:t>
      </w:r>
    </w:p>
    <w:p w:rsidR="00B0676C" w:rsidRDefault="00B0676C" w:rsidP="00B44C12">
      <w:pPr>
        <w:tabs>
          <w:tab w:val="left" w:pos="1418"/>
          <w:tab w:val="left" w:pos="1701"/>
          <w:tab w:val="left" w:pos="2694"/>
        </w:tabs>
        <w:spacing w:before="80"/>
        <w:ind w:right="62" w:firstLine="284"/>
        <w:rPr>
          <w:rFonts w:ascii="Tahoma" w:hAnsi="Tahoma" w:cs="Tahoma"/>
        </w:rPr>
      </w:pPr>
      <w:r>
        <w:rPr>
          <w:rFonts w:ascii="Tahoma" w:hAnsi="Tahoma" w:cs="Tahoma"/>
        </w:rPr>
        <w:t>PNEC (édesvíz): 0,002 mg/l,</w:t>
      </w:r>
      <w:r>
        <w:rPr>
          <w:rFonts w:ascii="Tahoma" w:hAnsi="Tahoma" w:cs="Tahoma"/>
        </w:rPr>
        <w:tab/>
        <w:t>PNEC (édesvízi üledék): 2,82 mg/kg</w:t>
      </w:r>
    </w:p>
    <w:p w:rsidR="00B0676C" w:rsidRDefault="00B0676C" w:rsidP="009C1D9A">
      <w:pPr>
        <w:tabs>
          <w:tab w:val="left" w:pos="1418"/>
          <w:tab w:val="left" w:pos="1701"/>
          <w:tab w:val="left" w:pos="2694"/>
        </w:tabs>
        <w:ind w:right="62" w:firstLine="284"/>
        <w:rPr>
          <w:rFonts w:ascii="Tahoma" w:hAnsi="Tahoma" w:cs="Tahoma"/>
        </w:rPr>
      </w:pPr>
      <w:r>
        <w:rPr>
          <w:rFonts w:ascii="Tahoma" w:hAnsi="Tahoma" w:cs="Tahoma"/>
        </w:rPr>
        <w:t xml:space="preserve">PNEC (talaj): 1,4 mg/kg, </w:t>
      </w:r>
      <w:r>
        <w:rPr>
          <w:rFonts w:ascii="Tahoma" w:hAnsi="Tahoma" w:cs="Tahoma"/>
        </w:rPr>
        <w:tab/>
        <w:t>PNEC (STP/szennyvíztisztító telep): 0,595 mg/kg</w:t>
      </w:r>
    </w:p>
    <w:p w:rsidR="00B0676C" w:rsidRPr="007840C7" w:rsidRDefault="00B0676C" w:rsidP="009C1D9A">
      <w:pPr>
        <w:pStyle w:val="BodyTextIndent"/>
        <w:spacing w:before="80"/>
        <w:ind w:left="0" w:firstLine="284"/>
        <w:rPr>
          <w:b/>
          <w:bCs/>
          <w:snapToGrid w:val="0"/>
        </w:rPr>
      </w:pPr>
      <w:r>
        <w:rPr>
          <w:b/>
          <w:bCs/>
        </w:rPr>
        <w:t>Izopropanol</w:t>
      </w:r>
    </w:p>
    <w:p w:rsidR="00B0676C" w:rsidRDefault="00B0676C" w:rsidP="009C1D9A">
      <w:pPr>
        <w:keepNext/>
        <w:tabs>
          <w:tab w:val="left" w:pos="1418"/>
          <w:tab w:val="left" w:pos="1701"/>
          <w:tab w:val="left" w:pos="2835"/>
        </w:tabs>
        <w:ind w:right="62" w:firstLine="284"/>
        <w:rPr>
          <w:rFonts w:ascii="Tahoma" w:hAnsi="Tahoma" w:cs="Tahoma"/>
        </w:rPr>
      </w:pPr>
      <w:r w:rsidRPr="00891EAF">
        <w:rPr>
          <w:rFonts w:ascii="Tahoma" w:hAnsi="Tahoma" w:cs="Tahoma"/>
          <w:snapToGrid w:val="0"/>
        </w:rPr>
        <w:t xml:space="preserve">DNEL (inhalációs expozíció, hosszú távú, </w:t>
      </w:r>
      <w:r>
        <w:rPr>
          <w:rFonts w:ascii="Tahoma" w:hAnsi="Tahoma" w:cs="Tahoma"/>
          <w:snapToGrid w:val="0"/>
        </w:rPr>
        <w:t>szisztémás hatás</w:t>
      </w:r>
      <w:r w:rsidRPr="00891EAF">
        <w:rPr>
          <w:rFonts w:ascii="Tahoma" w:hAnsi="Tahoma" w:cs="Tahoma"/>
          <w:snapToGrid w:val="0"/>
        </w:rPr>
        <w:t>): 500</w:t>
      </w:r>
      <w:r w:rsidRPr="00891EAF">
        <w:rPr>
          <w:rFonts w:ascii="Tahoma" w:hAnsi="Tahoma" w:cs="Tahoma"/>
        </w:rPr>
        <w:t xml:space="preserve"> mg/</w:t>
      </w:r>
      <w:r>
        <w:rPr>
          <w:rFonts w:ascii="Tahoma" w:hAnsi="Tahoma" w:cs="Tahoma"/>
        </w:rPr>
        <w:t>m</w:t>
      </w:r>
      <w:r w:rsidRPr="003367B4">
        <w:rPr>
          <w:rFonts w:ascii="Tahoma" w:hAnsi="Tahoma" w:cs="Tahoma"/>
          <w:vertAlign w:val="superscript"/>
        </w:rPr>
        <w:t>3</w:t>
      </w:r>
      <w:r w:rsidRPr="009C1D9A">
        <w:rPr>
          <w:rFonts w:ascii="Tahoma" w:hAnsi="Tahoma" w:cs="Tahoma"/>
          <w:vertAlign w:val="superscript"/>
        </w:rPr>
        <w:t xml:space="preserve"> </w:t>
      </w:r>
      <w:r w:rsidRPr="009C1D9A">
        <w:rPr>
          <w:rFonts w:ascii="Tahoma" w:hAnsi="Tahoma" w:cs="Tahoma"/>
        </w:rPr>
        <w:t>-</w:t>
      </w:r>
      <w:r w:rsidRPr="009C1D9A">
        <w:rPr>
          <w:rFonts w:ascii="Tahoma" w:hAnsi="Tahoma" w:cs="Tahoma"/>
          <w:vertAlign w:val="superscript"/>
        </w:rPr>
        <w:t xml:space="preserve"> </w:t>
      </w:r>
      <w:r w:rsidRPr="009C1D9A">
        <w:rPr>
          <w:rFonts w:ascii="Tahoma" w:hAnsi="Tahoma" w:cs="Tahoma"/>
          <w:snapToGrid w:val="0"/>
        </w:rPr>
        <w:t>foglalkozásszerű felhasználó</w:t>
      </w:r>
    </w:p>
    <w:p w:rsidR="00B0676C" w:rsidRPr="009C1D9A" w:rsidRDefault="00B0676C" w:rsidP="009C1D9A">
      <w:pPr>
        <w:tabs>
          <w:tab w:val="left" w:pos="1418"/>
          <w:tab w:val="left" w:pos="1701"/>
          <w:tab w:val="left" w:pos="2835"/>
        </w:tabs>
        <w:ind w:right="62" w:firstLine="284"/>
        <w:rPr>
          <w:rFonts w:ascii="Tahoma" w:hAnsi="Tahoma" w:cs="Tahoma"/>
          <w:spacing w:val="-4"/>
        </w:rPr>
      </w:pPr>
      <w:r w:rsidRPr="009C1D9A">
        <w:rPr>
          <w:rFonts w:ascii="Tahoma" w:hAnsi="Tahoma" w:cs="Tahoma"/>
          <w:snapToGrid w:val="0"/>
          <w:spacing w:val="-4"/>
        </w:rPr>
        <w:t>DNEL (dermális expozíció, hosszú távú, szisztémás hatás): 888</w:t>
      </w:r>
      <w:r w:rsidRPr="009C1D9A">
        <w:rPr>
          <w:rFonts w:ascii="Tahoma" w:hAnsi="Tahoma" w:cs="Tahoma"/>
          <w:spacing w:val="-4"/>
        </w:rPr>
        <w:t xml:space="preserve"> mg/ttkg/nap</w:t>
      </w:r>
      <w:r w:rsidRPr="009C1D9A">
        <w:rPr>
          <w:rFonts w:ascii="Tahoma" w:hAnsi="Tahoma" w:cs="Tahoma"/>
          <w:spacing w:val="-4"/>
          <w:vertAlign w:val="superscript"/>
        </w:rPr>
        <w:t xml:space="preserve"> </w:t>
      </w:r>
      <w:r w:rsidRPr="009C1D9A">
        <w:rPr>
          <w:rFonts w:ascii="Tahoma" w:hAnsi="Tahoma" w:cs="Tahoma"/>
          <w:spacing w:val="-4"/>
        </w:rPr>
        <w:t>-</w:t>
      </w:r>
      <w:r w:rsidRPr="009C1D9A">
        <w:rPr>
          <w:rFonts w:ascii="Tahoma" w:hAnsi="Tahoma" w:cs="Tahoma"/>
          <w:spacing w:val="-4"/>
          <w:vertAlign w:val="superscript"/>
        </w:rPr>
        <w:t xml:space="preserve"> </w:t>
      </w:r>
      <w:r w:rsidRPr="009C1D9A">
        <w:rPr>
          <w:rFonts w:ascii="Tahoma" w:hAnsi="Tahoma" w:cs="Tahoma"/>
          <w:snapToGrid w:val="0"/>
          <w:spacing w:val="-4"/>
        </w:rPr>
        <w:t>foglalkozásszerű felhasználó</w:t>
      </w:r>
    </w:p>
    <w:p w:rsidR="00B0676C" w:rsidRPr="003367B4" w:rsidRDefault="00B0676C" w:rsidP="009C1D9A">
      <w:pPr>
        <w:keepNext/>
        <w:tabs>
          <w:tab w:val="left" w:pos="1418"/>
          <w:tab w:val="left" w:pos="1701"/>
          <w:tab w:val="left" w:pos="2835"/>
        </w:tabs>
        <w:ind w:right="62" w:firstLine="284"/>
        <w:rPr>
          <w:rFonts w:ascii="Tahoma" w:hAnsi="Tahoma" w:cs="Tahoma"/>
        </w:rPr>
      </w:pPr>
      <w:r w:rsidRPr="003367B4">
        <w:rPr>
          <w:rFonts w:ascii="Tahoma" w:hAnsi="Tahoma" w:cs="Tahoma"/>
          <w:snapToGrid w:val="0"/>
        </w:rPr>
        <w:t>DNEL (inhalációs expozíció, hosszú távú, szisztémás hatás): 89</w:t>
      </w:r>
      <w:r w:rsidRPr="003367B4">
        <w:rPr>
          <w:rFonts w:ascii="Tahoma" w:hAnsi="Tahoma" w:cs="Tahoma"/>
        </w:rPr>
        <w:t xml:space="preserve"> mg/m</w:t>
      </w:r>
      <w:r w:rsidRPr="003367B4">
        <w:rPr>
          <w:rFonts w:ascii="Tahoma" w:hAnsi="Tahoma" w:cs="Tahoma"/>
          <w:vertAlign w:val="superscript"/>
        </w:rPr>
        <w:t>3</w:t>
      </w:r>
      <w:r w:rsidRPr="009C1D9A">
        <w:rPr>
          <w:b/>
          <w:bCs/>
        </w:rPr>
        <w:t xml:space="preserve"> </w:t>
      </w:r>
      <w:r>
        <w:rPr>
          <w:b/>
          <w:bCs/>
        </w:rPr>
        <w:t xml:space="preserve">- </w:t>
      </w:r>
      <w:r w:rsidRPr="009C1D9A">
        <w:rPr>
          <w:rFonts w:ascii="Tahoma" w:hAnsi="Tahoma" w:cs="Tahoma"/>
        </w:rPr>
        <w:t>lakossági felhasználó</w:t>
      </w:r>
    </w:p>
    <w:p w:rsidR="00B0676C" w:rsidRPr="00891EAF" w:rsidRDefault="00B0676C" w:rsidP="009C1D9A">
      <w:pPr>
        <w:tabs>
          <w:tab w:val="left" w:pos="1418"/>
          <w:tab w:val="left" w:pos="1701"/>
          <w:tab w:val="left" w:pos="2835"/>
        </w:tabs>
        <w:ind w:right="62" w:firstLine="284"/>
        <w:rPr>
          <w:rFonts w:ascii="Tahoma" w:hAnsi="Tahoma" w:cs="Tahoma"/>
        </w:rPr>
      </w:pPr>
      <w:r w:rsidRPr="003367B4">
        <w:rPr>
          <w:rFonts w:ascii="Tahoma" w:hAnsi="Tahoma" w:cs="Tahoma"/>
          <w:snapToGrid w:val="0"/>
        </w:rPr>
        <w:t>DNEL (dermális expozíció, hosszú távú, szisztémás hatás): 319</w:t>
      </w:r>
      <w:r w:rsidRPr="003367B4">
        <w:rPr>
          <w:rFonts w:ascii="Tahoma" w:hAnsi="Tahoma" w:cs="Tahoma"/>
        </w:rPr>
        <w:t xml:space="preserve"> mg/ttkg/nap</w:t>
      </w:r>
      <w:r w:rsidRPr="009C1D9A">
        <w:rPr>
          <w:b/>
          <w:bCs/>
        </w:rPr>
        <w:t xml:space="preserve"> </w:t>
      </w:r>
      <w:r>
        <w:rPr>
          <w:b/>
          <w:bCs/>
        </w:rPr>
        <w:t xml:space="preserve">- </w:t>
      </w:r>
      <w:r w:rsidRPr="009C1D9A">
        <w:rPr>
          <w:rFonts w:ascii="Tahoma" w:hAnsi="Tahoma" w:cs="Tahoma"/>
        </w:rPr>
        <w:t>lakossági felhasználó</w:t>
      </w:r>
    </w:p>
    <w:p w:rsidR="00B0676C" w:rsidRPr="00891EAF" w:rsidRDefault="00B0676C" w:rsidP="009C1D9A">
      <w:pPr>
        <w:tabs>
          <w:tab w:val="left" w:pos="1418"/>
          <w:tab w:val="left" w:pos="1701"/>
          <w:tab w:val="left" w:pos="2835"/>
        </w:tabs>
        <w:ind w:left="284" w:right="62"/>
        <w:rPr>
          <w:rFonts w:ascii="Tahoma" w:hAnsi="Tahoma" w:cs="Tahoma"/>
        </w:rPr>
      </w:pPr>
      <w:r w:rsidRPr="00891EAF">
        <w:rPr>
          <w:rFonts w:ascii="Tahoma" w:hAnsi="Tahoma" w:cs="Tahoma"/>
          <w:snapToGrid w:val="0"/>
        </w:rPr>
        <w:t>DNEL (</w:t>
      </w:r>
      <w:r>
        <w:rPr>
          <w:rFonts w:ascii="Tahoma" w:hAnsi="Tahoma" w:cs="Tahoma"/>
          <w:snapToGrid w:val="0"/>
        </w:rPr>
        <w:t>orális</w:t>
      </w:r>
      <w:r w:rsidRPr="00891EAF">
        <w:rPr>
          <w:rFonts w:ascii="Tahoma" w:hAnsi="Tahoma" w:cs="Tahoma"/>
          <w:snapToGrid w:val="0"/>
        </w:rPr>
        <w:t xml:space="preserve"> expozíció, hosszú távú, </w:t>
      </w:r>
      <w:r>
        <w:rPr>
          <w:rFonts w:ascii="Tahoma" w:hAnsi="Tahoma" w:cs="Tahoma"/>
          <w:snapToGrid w:val="0"/>
        </w:rPr>
        <w:t>szisztémás hatás</w:t>
      </w:r>
      <w:r w:rsidRPr="00891EAF">
        <w:rPr>
          <w:rFonts w:ascii="Tahoma" w:hAnsi="Tahoma" w:cs="Tahoma"/>
          <w:snapToGrid w:val="0"/>
        </w:rPr>
        <w:t xml:space="preserve">): </w:t>
      </w:r>
      <w:r>
        <w:rPr>
          <w:rFonts w:ascii="Tahoma" w:hAnsi="Tahoma" w:cs="Tahoma"/>
          <w:snapToGrid w:val="0"/>
        </w:rPr>
        <w:t>26</w:t>
      </w:r>
      <w:r w:rsidRPr="00891EAF">
        <w:rPr>
          <w:rFonts w:ascii="Tahoma" w:hAnsi="Tahoma" w:cs="Tahoma"/>
        </w:rPr>
        <w:t xml:space="preserve"> mg/ttkg</w:t>
      </w:r>
      <w:r>
        <w:rPr>
          <w:rFonts w:ascii="Tahoma" w:hAnsi="Tahoma" w:cs="Tahoma"/>
        </w:rPr>
        <w:t>/nap</w:t>
      </w:r>
      <w:r w:rsidRPr="009C1D9A">
        <w:rPr>
          <w:b/>
          <w:bCs/>
        </w:rPr>
        <w:t xml:space="preserve"> </w:t>
      </w:r>
      <w:r>
        <w:rPr>
          <w:b/>
          <w:bCs/>
        </w:rPr>
        <w:t xml:space="preserve">- </w:t>
      </w:r>
      <w:r w:rsidRPr="009C1D9A">
        <w:rPr>
          <w:rFonts w:ascii="Tahoma" w:hAnsi="Tahoma" w:cs="Tahoma"/>
        </w:rPr>
        <w:t>lakossági felhasználó</w:t>
      </w:r>
    </w:p>
    <w:p w:rsidR="00B0676C" w:rsidRDefault="00B0676C" w:rsidP="009C1D9A">
      <w:pPr>
        <w:tabs>
          <w:tab w:val="left" w:pos="1418"/>
          <w:tab w:val="left" w:pos="1701"/>
          <w:tab w:val="left" w:pos="2694"/>
        </w:tabs>
        <w:spacing w:before="120"/>
        <w:ind w:left="284" w:right="62"/>
        <w:rPr>
          <w:rFonts w:ascii="Tahoma" w:hAnsi="Tahoma" w:cs="Tahoma"/>
        </w:rPr>
      </w:pPr>
      <w:r>
        <w:rPr>
          <w:rFonts w:ascii="Tahoma" w:hAnsi="Tahoma" w:cs="Tahoma"/>
        </w:rPr>
        <w:t>PNEC (édesvíz): 140,9 mg/l,</w:t>
      </w:r>
      <w:r>
        <w:rPr>
          <w:rFonts w:ascii="Tahoma" w:hAnsi="Tahoma" w:cs="Tahoma"/>
        </w:rPr>
        <w:tab/>
        <w:t>PNEC (édesvízi üledék): 552 mg/kg</w:t>
      </w:r>
    </w:p>
    <w:p w:rsidR="00B0676C" w:rsidRDefault="00B0676C" w:rsidP="009C1D9A">
      <w:pPr>
        <w:tabs>
          <w:tab w:val="left" w:pos="1418"/>
          <w:tab w:val="left" w:pos="1701"/>
          <w:tab w:val="left" w:pos="2694"/>
        </w:tabs>
        <w:ind w:left="284"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B0676C" w:rsidRPr="001E4463" w:rsidRDefault="00B0676C" w:rsidP="0034100E">
      <w:pPr>
        <w:pStyle w:val="BodyTextIndent"/>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munkabiztonsági és higiénés előírásait. </w:t>
      </w:r>
    </w:p>
    <w:p w:rsidR="00B0676C" w:rsidRDefault="00B0676C" w:rsidP="000A36D7">
      <w:pPr>
        <w:pStyle w:val="BodyTextIndent"/>
        <w:spacing w:before="80"/>
        <w:ind w:left="0"/>
        <w:rPr>
          <w:b/>
          <w:bCs/>
        </w:rPr>
      </w:pPr>
      <w:r>
        <w:rPr>
          <w:b/>
          <w:bCs/>
        </w:rPr>
        <w:t>8.3. Személyi védelem</w:t>
      </w:r>
    </w:p>
    <w:p w:rsidR="00B0676C" w:rsidRDefault="00B0676C" w:rsidP="0015371B">
      <w:pPr>
        <w:pStyle w:val="BodyTextIndent"/>
        <w:spacing w:before="0"/>
        <w:ind w:left="0"/>
      </w:pPr>
      <w:r>
        <w:rPr>
          <w:b/>
          <w:bCs/>
        </w:rPr>
        <w:t xml:space="preserve">Műszaki intézkedések: </w:t>
      </w:r>
      <w:r>
        <w:t>nem szükséges.</w:t>
      </w:r>
    </w:p>
    <w:p w:rsidR="00B0676C" w:rsidRDefault="00B0676C" w:rsidP="007E27A7">
      <w:pPr>
        <w:pStyle w:val="BodyTextIndent"/>
        <w:spacing w:before="40"/>
        <w:ind w:left="0"/>
      </w:pPr>
      <w:r>
        <w:rPr>
          <w:b/>
          <w:bCs/>
        </w:rPr>
        <w:t>Higiéniai intézkedések:</w:t>
      </w:r>
      <w:r w:rsidRPr="007E27A7">
        <w:t xml:space="preserve"> t</w:t>
      </w:r>
      <w:r>
        <w:t>artsuk távol élelmiszerektől, italoktól és takarmányoktól.</w:t>
      </w:r>
    </w:p>
    <w:p w:rsidR="00B0676C" w:rsidRDefault="00B0676C" w:rsidP="000A36D7">
      <w:pPr>
        <w:pStyle w:val="BodyTextIndent"/>
        <w:tabs>
          <w:tab w:val="clear" w:pos="1701"/>
        </w:tabs>
        <w:spacing w:before="40"/>
        <w:ind w:left="0"/>
        <w:rPr>
          <w:b/>
          <w:bCs/>
        </w:rPr>
      </w:pPr>
      <w:r w:rsidRPr="00C7218F">
        <w:rPr>
          <w:b/>
          <w:bCs/>
        </w:rPr>
        <w:t>Személyi védőfelszerelések:</w:t>
      </w:r>
    </w:p>
    <w:p w:rsidR="00B0676C" w:rsidRPr="00323E34" w:rsidRDefault="00B0676C" w:rsidP="00502A1A">
      <w:pPr>
        <w:pStyle w:val="BodyTextIndent"/>
        <w:numPr>
          <w:ilvl w:val="0"/>
          <w:numId w:val="22"/>
        </w:numPr>
        <w:tabs>
          <w:tab w:val="clear" w:pos="360"/>
          <w:tab w:val="clear" w:pos="1701"/>
          <w:tab w:val="num" w:pos="284"/>
        </w:tabs>
        <w:spacing w:before="0"/>
        <w:ind w:left="0" w:firstLine="0"/>
        <w:jc w:val="left"/>
        <w:rPr>
          <w:b/>
          <w:bCs/>
        </w:rPr>
      </w:pPr>
      <w:r w:rsidRPr="00E878DA">
        <w:rPr>
          <w:b/>
          <w:bCs/>
        </w:rPr>
        <w:t>Légutak védelme:</w:t>
      </w:r>
      <w:r w:rsidRPr="00FE2CC0">
        <w:t xml:space="preserve"> </w:t>
      </w:r>
      <w:r w:rsidRPr="006D332E">
        <w:t>nem szükséges.</w:t>
      </w:r>
    </w:p>
    <w:p w:rsidR="00B0676C" w:rsidRPr="00102AFA" w:rsidRDefault="00B0676C" w:rsidP="00502A1A">
      <w:pPr>
        <w:pStyle w:val="BodyTextIndent"/>
        <w:numPr>
          <w:ilvl w:val="0"/>
          <w:numId w:val="22"/>
        </w:numPr>
        <w:tabs>
          <w:tab w:val="clear" w:pos="360"/>
          <w:tab w:val="clear" w:pos="1701"/>
          <w:tab w:val="num" w:pos="284"/>
        </w:tabs>
        <w:spacing w:before="0"/>
        <w:ind w:left="284" w:hanging="284"/>
        <w:jc w:val="left"/>
      </w:pPr>
      <w:r w:rsidRPr="00102AFA">
        <w:rPr>
          <w:b/>
          <w:bCs/>
        </w:rPr>
        <w:t xml:space="preserve">Kézvédelem: </w:t>
      </w:r>
      <w:r w:rsidRPr="00102AFA">
        <w:t>nem szükséges</w:t>
      </w:r>
      <w:r>
        <w:t xml:space="preserve">, a termék a kéz tisztítására, fertőtlenítésére kifejlesztett keverék. </w:t>
      </w:r>
      <w:r>
        <w:br/>
        <w:t>Nagy mennyiségek kezelése esetén, mentesítéskor, védőkesztyű használata ajánlott.</w:t>
      </w:r>
    </w:p>
    <w:p w:rsidR="00B0676C" w:rsidRDefault="00B0676C" w:rsidP="00502A1A">
      <w:pPr>
        <w:pStyle w:val="BodyTextIndent"/>
        <w:numPr>
          <w:ilvl w:val="0"/>
          <w:numId w:val="22"/>
        </w:numPr>
        <w:tabs>
          <w:tab w:val="clear" w:pos="360"/>
          <w:tab w:val="clear" w:pos="1701"/>
          <w:tab w:val="num" w:pos="284"/>
        </w:tabs>
        <w:spacing w:before="0"/>
        <w:ind w:left="284" w:hanging="284"/>
        <w:jc w:val="left"/>
      </w:pPr>
      <w:r w:rsidRPr="00102AFA">
        <w:rPr>
          <w:b/>
          <w:bCs/>
        </w:rPr>
        <w:t>Szemvédelem:</w:t>
      </w:r>
      <w:r>
        <w:t xml:space="preserve"> nem szükséges.</w:t>
      </w:r>
    </w:p>
    <w:p w:rsidR="00B0676C" w:rsidRDefault="00B0676C" w:rsidP="00C124FE">
      <w:pPr>
        <w:pStyle w:val="BodyTextIndent"/>
        <w:tabs>
          <w:tab w:val="clear" w:pos="1701"/>
        </w:tabs>
        <w:spacing w:before="0"/>
        <w:ind w:left="284"/>
        <w:jc w:val="left"/>
      </w:pPr>
      <w:r>
        <w:t xml:space="preserve">Nagy mennyiségek kezelésekor, mentesítéskor, ha a szembefröccsenés veszélye fennáll, akkor védőszemüveg/védőálarc használata ajánlott. </w:t>
      </w:r>
    </w:p>
    <w:p w:rsidR="00B0676C" w:rsidRPr="00675D5C" w:rsidRDefault="00B0676C" w:rsidP="000A36D7">
      <w:pPr>
        <w:pStyle w:val="BodyTextIndent"/>
        <w:tabs>
          <w:tab w:val="clear" w:pos="1701"/>
        </w:tabs>
        <w:spacing w:before="40"/>
        <w:ind w:left="0"/>
      </w:pPr>
      <w:r w:rsidRPr="00C7218F">
        <w:rPr>
          <w:b/>
          <w:bCs/>
        </w:rPr>
        <w:t>8.</w:t>
      </w:r>
      <w:r>
        <w:rPr>
          <w:b/>
          <w:bCs/>
        </w:rPr>
        <w:t>4</w:t>
      </w:r>
      <w:r w:rsidRPr="00C7218F">
        <w:rPr>
          <w:b/>
          <w:bCs/>
        </w:rPr>
        <w:t>. Környezetvédelem:</w:t>
      </w:r>
      <w:r w:rsidRPr="00675D5C">
        <w:t xml:space="preserve"> </w:t>
      </w:r>
      <w:r>
        <w:t>t</w:t>
      </w:r>
      <w:r w:rsidRPr="00102AFA">
        <w:t>artsuk be az anyagmozgatási és tárolási előírásokat</w:t>
      </w:r>
      <w:r>
        <w:t>, kiömlött termék a víztestekbe, csatornába ne jusson.</w:t>
      </w:r>
      <w:r w:rsidRPr="00102AFA">
        <w:t xml:space="preserve"> </w:t>
      </w:r>
    </w:p>
    <w:p w:rsidR="00B0676C" w:rsidRDefault="00B0676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B0676C" w:rsidRDefault="00B0676C"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B0676C" w:rsidRDefault="00B0676C" w:rsidP="00102AFA">
      <w:pPr>
        <w:keepNext/>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B0676C" w:rsidRPr="00DE2E56" w:rsidRDefault="00B0676C"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színtelen</w:t>
      </w:r>
    </w:p>
    <w:p w:rsidR="00B0676C" w:rsidRPr="00DE2E56" w:rsidRDefault="00B0676C"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B0676C" w:rsidRDefault="00B0676C"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7 – 9 (20°C-on)</w:t>
      </w:r>
    </w:p>
    <w:p w:rsidR="00B0676C" w:rsidRDefault="00B0676C"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B0676C" w:rsidRDefault="00B0676C" w:rsidP="00102AFA">
      <w:pPr>
        <w:tabs>
          <w:tab w:val="left" w:pos="2552"/>
        </w:tabs>
        <w:ind w:left="284" w:firstLine="142"/>
        <w:jc w:val="both"/>
        <w:rPr>
          <w:rFonts w:ascii="Tahoma" w:hAnsi="Tahoma" w:cs="Tahoma"/>
          <w:snapToGrid w:val="0"/>
        </w:rPr>
      </w:pPr>
      <w:r w:rsidRPr="00675D5C">
        <w:rPr>
          <w:rFonts w:ascii="Tahoma" w:hAnsi="Tahoma" w:cs="Tahoma"/>
          <w:snapToGrid w:val="0"/>
        </w:rPr>
        <w:t>Lobbanáspont</w:t>
      </w:r>
      <w:r>
        <w:rPr>
          <w:rStyle w:val="FootnoteReference"/>
          <w:rFonts w:ascii="Tahoma" w:hAnsi="Tahoma" w:cs="Tahoma"/>
          <w:snapToGrid w:val="0"/>
        </w:rPr>
        <w:footnoteReference w:id="6"/>
      </w:r>
      <w:r w:rsidRPr="00675D5C">
        <w:rPr>
          <w:rFonts w:ascii="Tahoma" w:hAnsi="Tahoma" w:cs="Tahoma"/>
          <w:snapToGrid w:val="0"/>
        </w:rPr>
        <w:t>:</w:t>
      </w:r>
      <w:r w:rsidRPr="00675D5C">
        <w:rPr>
          <w:rFonts w:ascii="Tahoma" w:hAnsi="Tahoma" w:cs="Tahoma"/>
          <w:snapToGrid w:val="0"/>
        </w:rPr>
        <w:tab/>
      </w:r>
      <w:r>
        <w:rPr>
          <w:rFonts w:ascii="Tahoma" w:hAnsi="Tahoma" w:cs="Tahoma"/>
          <w:snapToGrid w:val="0"/>
        </w:rPr>
        <w:t>nincs adat, a termék 2%-nál kevesebb izopropanolt tartalmaz</w:t>
      </w:r>
    </w:p>
    <w:p w:rsidR="00B0676C" w:rsidRDefault="00B0676C" w:rsidP="00102AFA">
      <w:pPr>
        <w:tabs>
          <w:tab w:val="left" w:pos="2552"/>
        </w:tabs>
        <w:ind w:left="284" w:firstLine="142"/>
        <w:jc w:val="both"/>
        <w:rPr>
          <w:rFonts w:ascii="Tahoma" w:hAnsi="Tahoma" w:cs="Tahoma"/>
          <w:snapToGrid w:val="0"/>
        </w:rPr>
      </w:pPr>
      <w:r>
        <w:rPr>
          <w:rFonts w:ascii="Tahoma" w:hAnsi="Tahoma" w:cs="Tahoma"/>
          <w:snapToGrid w:val="0"/>
        </w:rPr>
        <w:t>Robbanási tulajdonság: nem jellemző</w:t>
      </w:r>
    </w:p>
    <w:p w:rsidR="00B0676C" w:rsidRDefault="00B0676C" w:rsidP="00C124FE">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nincs, nem jellemző</w:t>
      </w:r>
      <w:r w:rsidRPr="00C124FE">
        <w:rPr>
          <w:rFonts w:ascii="Tahoma" w:hAnsi="Tahoma" w:cs="Tahoma"/>
          <w:snapToGrid w:val="0"/>
        </w:rPr>
        <w:t xml:space="preserve"> </w:t>
      </w:r>
    </w:p>
    <w:p w:rsidR="00B0676C" w:rsidRDefault="00B0676C"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B0676C" w:rsidRDefault="00B0676C"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B0676C" w:rsidRPr="00530275" w:rsidRDefault="00B0676C" w:rsidP="00290594">
      <w:pPr>
        <w:jc w:val="both"/>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reaktív, nem jellemző.</w:t>
      </w:r>
    </w:p>
    <w:p w:rsidR="00B0676C" w:rsidRPr="00530275" w:rsidRDefault="00B0676C" w:rsidP="00290594">
      <w:pPr>
        <w:spacing w:before="40"/>
        <w:jc w:val="both"/>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B0676C" w:rsidRPr="00D80FB5" w:rsidRDefault="00B0676C" w:rsidP="00290594">
      <w:pPr>
        <w:spacing w:before="40"/>
        <w:jc w:val="both"/>
        <w:rPr>
          <w:rFonts w:ascii="Tahoma" w:hAnsi="Tahoma" w:cs="Tahoma"/>
          <w:snapToGrid w:val="0"/>
        </w:rPr>
      </w:pPr>
      <w:r w:rsidRPr="00530275">
        <w:rPr>
          <w:rFonts w:ascii="Tahoma" w:hAnsi="Tahoma" w:cs="Tahoma"/>
          <w:b/>
          <w:bCs/>
          <w:snapToGrid w:val="0"/>
        </w:rPr>
        <w:t xml:space="preserve">10.3. A veszélyes reakciók lehetősége: </w:t>
      </w:r>
      <w:r w:rsidRPr="00D80FB5">
        <w:rPr>
          <w:rFonts w:ascii="Tahoma" w:hAnsi="Tahoma" w:cs="Tahoma"/>
          <w:snapToGrid w:val="0"/>
        </w:rPr>
        <w:t>erős savak, lúgok, oxidálószerek.</w:t>
      </w:r>
    </w:p>
    <w:p w:rsidR="00B0676C" w:rsidRDefault="00B0676C" w:rsidP="00290594">
      <w:pPr>
        <w:spacing w:before="40"/>
        <w:jc w:val="both"/>
        <w:rPr>
          <w:rFonts w:ascii="Tahoma" w:hAnsi="Tahoma" w:cs="Tahoma"/>
          <w:b/>
          <w:bCs/>
          <w:snapToGrid w:val="0"/>
        </w:rPr>
      </w:pPr>
      <w:r w:rsidRPr="00530275">
        <w:rPr>
          <w:rFonts w:ascii="Tahoma" w:hAnsi="Tahoma" w:cs="Tahoma"/>
          <w:b/>
          <w:bCs/>
          <w:snapToGrid w:val="0"/>
        </w:rPr>
        <w:t xml:space="preserve">10.4. Kerülendő körülmények: </w:t>
      </w:r>
      <w:r w:rsidRPr="00A20AF1">
        <w:rPr>
          <w:rFonts w:ascii="Tahoma" w:hAnsi="Tahoma" w:cs="Tahoma"/>
          <w:snapToGrid w:val="0"/>
        </w:rPr>
        <w:t>extrém hőhatás, fagy</w:t>
      </w:r>
      <w:r>
        <w:rPr>
          <w:rFonts w:ascii="Tahoma" w:hAnsi="Tahoma" w:cs="Tahoma"/>
          <w:snapToGrid w:val="0"/>
        </w:rPr>
        <w:t>, hőforrás</w:t>
      </w:r>
      <w:r w:rsidRPr="00A20AF1">
        <w:rPr>
          <w:rFonts w:ascii="Tahoma" w:hAnsi="Tahoma" w:cs="Tahoma"/>
          <w:snapToGrid w:val="0"/>
        </w:rPr>
        <w:t>.</w:t>
      </w:r>
    </w:p>
    <w:p w:rsidR="00B0676C" w:rsidRDefault="00B0676C" w:rsidP="00290594">
      <w:pPr>
        <w:spacing w:before="40"/>
        <w:jc w:val="both"/>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sidRPr="00530275">
        <w:rPr>
          <w:rFonts w:ascii="Tahoma" w:hAnsi="Tahoma" w:cs="Tahoma"/>
        </w:rPr>
        <w:t>oxidálószerek, savak, ne keverjük más termékekkel!</w:t>
      </w:r>
    </w:p>
    <w:p w:rsidR="00B0676C" w:rsidRPr="00530275" w:rsidRDefault="00B0676C" w:rsidP="00290594">
      <w:pPr>
        <w:spacing w:before="40"/>
        <w:jc w:val="both"/>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 termikus bomlás során, tűz esetén lásd az 5. szakaszt.</w:t>
      </w:r>
    </w:p>
    <w:p w:rsidR="00B0676C" w:rsidRDefault="00B0676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B0676C" w:rsidRDefault="00B0676C" w:rsidP="003E4CE4">
      <w:pPr>
        <w:pStyle w:val="BodyTextIndent"/>
        <w:ind w:left="0"/>
      </w:pPr>
      <w:r w:rsidRPr="006F495B">
        <w:rPr>
          <w:b/>
          <w:bCs/>
        </w:rPr>
        <w:t>11.1. Toxicitás:</w:t>
      </w:r>
      <w:r>
        <w:t xml:space="preserve"> a termék </w:t>
      </w:r>
      <w:r w:rsidRPr="00D14ED4">
        <w:t>toxikológiai megítélése az egyes komponensek</w:t>
      </w:r>
      <w:r>
        <w:t xml:space="preserve"> koncentrációi és a</w:t>
      </w:r>
      <w:r w:rsidRPr="00D14ED4">
        <w:t xml:space="preserve"> vonatkozó toxikológiai adatok alapján</w:t>
      </w:r>
      <w:r>
        <w:t xml:space="preserve"> történt</w:t>
      </w:r>
      <w:r w:rsidRPr="00D14ED4">
        <w:t xml:space="preserve"> a </w:t>
      </w:r>
      <w:r>
        <w:t>1272/2008/EK rendelet előírásai szerint</w:t>
      </w:r>
      <w:r w:rsidRPr="00D14ED4">
        <w:t xml:space="preserve">. </w:t>
      </w:r>
      <w:r>
        <w:t xml:space="preserve">A termék nem ártalmas lenyelve, bőrön át és belélegezve a termékre becsült ATE értékek (oral, dermal, inhal.) alapján. </w:t>
      </w:r>
      <w:r>
        <w:br/>
        <w:t xml:space="preserve">A Skin Corr. 1B osztályozású összetevők koncentrációja: 1 – 5%, azaz a termék Skin Irrit. 2, továbbá az Eye Dam. 1 osztályba sorolt összetevők koncentrációja &gt;3% azaz a termék maga is Eye Dam. 1 veszélyt jelent. </w:t>
      </w:r>
    </w:p>
    <w:p w:rsidR="00B0676C" w:rsidRPr="003E098F" w:rsidRDefault="00B0676C" w:rsidP="003E4CE4">
      <w:pPr>
        <w:pStyle w:val="BodyTextIndent"/>
        <w:ind w:left="0"/>
        <w:rPr>
          <w:b/>
          <w:bCs/>
        </w:rPr>
      </w:pPr>
      <w:r w:rsidRPr="003E098F">
        <w:rPr>
          <w:b/>
          <w:bCs/>
        </w:rPr>
        <w:t>11.2. Az összetevőkre vonatkozó adatok:</w:t>
      </w:r>
    </w:p>
    <w:p w:rsidR="00B0676C" w:rsidRPr="0018749A" w:rsidRDefault="00B0676C" w:rsidP="001610D0">
      <w:pPr>
        <w:pStyle w:val="Default"/>
        <w:tabs>
          <w:tab w:val="left" w:pos="2835"/>
        </w:tabs>
        <w:rPr>
          <w:rFonts w:ascii="Tahoma" w:hAnsi="Tahoma" w:cs="Tahoma"/>
          <w:sz w:val="20"/>
          <w:szCs w:val="20"/>
        </w:rPr>
      </w:pPr>
      <w:r w:rsidRPr="001610D0">
        <w:rPr>
          <w:rFonts w:ascii="Tahoma" w:hAnsi="Tahoma" w:cs="Tahoma"/>
          <w:b/>
          <w:bCs/>
          <w:snapToGrid w:val="0"/>
          <w:sz w:val="20"/>
          <w:szCs w:val="20"/>
        </w:rPr>
        <w:t>Didecil-dimetil-ammónium-klorid</w:t>
      </w:r>
      <w:r>
        <w:rPr>
          <w:rFonts w:ascii="Tahoma" w:hAnsi="Tahoma" w:cs="Tahoma"/>
          <w:b/>
          <w:bCs/>
          <w:snapToGrid w:val="0"/>
          <w:sz w:val="20"/>
          <w:szCs w:val="20"/>
        </w:rPr>
        <w:t>:</w:t>
      </w:r>
      <w:r>
        <w:rPr>
          <w:rFonts w:ascii="Tahoma" w:hAnsi="Tahoma" w:cs="Tahoma"/>
          <w:b/>
          <w:bCs/>
          <w:snapToGrid w:val="0"/>
          <w:sz w:val="20"/>
          <w:szCs w:val="20"/>
        </w:rPr>
        <w:tab/>
      </w:r>
      <w:r>
        <w:rPr>
          <w:rFonts w:ascii="Tahoma" w:hAnsi="Tahoma" w:cs="Tahoma"/>
          <w:sz w:val="20"/>
          <w:szCs w:val="20"/>
        </w:rPr>
        <w:t>akut orális</w:t>
      </w:r>
      <w:r w:rsidRPr="0018749A">
        <w:rPr>
          <w:rFonts w:ascii="Tahoma" w:hAnsi="Tahoma" w:cs="Tahoma"/>
          <w:sz w:val="20"/>
          <w:szCs w:val="20"/>
        </w:rPr>
        <w:t xml:space="preserve"> LD</w:t>
      </w:r>
      <w:r w:rsidRPr="0018749A">
        <w:rPr>
          <w:rFonts w:ascii="Tahoma" w:hAnsi="Tahoma" w:cs="Tahoma"/>
          <w:sz w:val="20"/>
          <w:szCs w:val="20"/>
          <w:vertAlign w:val="subscript"/>
        </w:rPr>
        <w:t>50</w:t>
      </w:r>
      <w:r w:rsidRPr="0018749A">
        <w:rPr>
          <w:rFonts w:ascii="Tahoma" w:hAnsi="Tahoma" w:cs="Tahoma"/>
          <w:sz w:val="20"/>
          <w:szCs w:val="20"/>
        </w:rPr>
        <w:t xml:space="preserve"> (patkány):</w:t>
      </w:r>
      <w:r>
        <w:rPr>
          <w:rFonts w:ascii="Tahoma" w:hAnsi="Tahoma" w:cs="Tahoma"/>
          <w:sz w:val="20"/>
          <w:szCs w:val="20"/>
        </w:rPr>
        <w:t xml:space="preserve"> 238</w:t>
      </w:r>
      <w:r w:rsidRPr="0018749A">
        <w:rPr>
          <w:rFonts w:ascii="Tahoma" w:hAnsi="Tahoma" w:cs="Tahoma"/>
          <w:sz w:val="20"/>
          <w:szCs w:val="20"/>
        </w:rPr>
        <w:t xml:space="preserve"> mg/</w:t>
      </w:r>
      <w:r>
        <w:rPr>
          <w:rFonts w:ascii="Tahoma" w:hAnsi="Tahoma" w:cs="Tahoma"/>
          <w:sz w:val="20"/>
          <w:szCs w:val="20"/>
        </w:rPr>
        <w:t>tt</w:t>
      </w:r>
      <w:r w:rsidRPr="0018749A">
        <w:rPr>
          <w:rFonts w:ascii="Tahoma" w:hAnsi="Tahoma" w:cs="Tahoma"/>
          <w:sz w:val="20"/>
          <w:szCs w:val="20"/>
        </w:rPr>
        <w:t>kg</w:t>
      </w:r>
      <w:r>
        <w:rPr>
          <w:rFonts w:ascii="Tahoma" w:hAnsi="Tahoma" w:cs="Tahoma"/>
          <w:sz w:val="20"/>
          <w:szCs w:val="20"/>
        </w:rPr>
        <w:t xml:space="preserve"> – OECD 401</w:t>
      </w:r>
    </w:p>
    <w:p w:rsidR="00B0676C" w:rsidRDefault="00B0676C" w:rsidP="001610D0">
      <w:pPr>
        <w:pStyle w:val="Default"/>
        <w:tabs>
          <w:tab w:val="left" w:pos="2835"/>
        </w:tabs>
        <w:ind w:firstLine="3544"/>
        <w:rPr>
          <w:rFonts w:ascii="Tahoma" w:hAnsi="Tahoma" w:cs="Tahoma"/>
          <w:sz w:val="20"/>
          <w:szCs w:val="20"/>
        </w:rPr>
      </w:pPr>
      <w:r>
        <w:rPr>
          <w:rFonts w:ascii="Tahoma" w:hAnsi="Tahoma" w:cs="Tahoma"/>
          <w:sz w:val="20"/>
          <w:szCs w:val="20"/>
        </w:rPr>
        <w:t>akut dermális</w:t>
      </w:r>
      <w:r w:rsidRPr="0018749A">
        <w:rPr>
          <w:rFonts w:ascii="Tahoma" w:hAnsi="Tahoma" w:cs="Tahoma"/>
          <w:sz w:val="20"/>
          <w:szCs w:val="20"/>
        </w:rPr>
        <w:t xml:space="preserve"> LD</w:t>
      </w:r>
      <w:r w:rsidRPr="0018749A">
        <w:rPr>
          <w:rFonts w:ascii="Tahoma" w:hAnsi="Tahoma" w:cs="Tahoma"/>
          <w:sz w:val="20"/>
          <w:szCs w:val="20"/>
          <w:vertAlign w:val="subscript"/>
        </w:rPr>
        <w:t>50</w:t>
      </w:r>
      <w:r w:rsidRPr="0018749A">
        <w:rPr>
          <w:rFonts w:ascii="Tahoma" w:hAnsi="Tahoma" w:cs="Tahoma"/>
          <w:sz w:val="20"/>
          <w:szCs w:val="20"/>
        </w:rPr>
        <w:t xml:space="preserve"> (</w:t>
      </w:r>
      <w:r>
        <w:rPr>
          <w:rFonts w:ascii="Tahoma" w:hAnsi="Tahoma" w:cs="Tahoma"/>
          <w:sz w:val="20"/>
          <w:szCs w:val="20"/>
        </w:rPr>
        <w:t>nyúl</w:t>
      </w:r>
      <w:r w:rsidRPr="0018749A">
        <w:rPr>
          <w:rFonts w:ascii="Tahoma" w:hAnsi="Tahoma" w:cs="Tahoma"/>
          <w:sz w:val="20"/>
          <w:szCs w:val="20"/>
        </w:rPr>
        <w:t xml:space="preserve">): </w:t>
      </w:r>
      <w:r>
        <w:rPr>
          <w:rFonts w:ascii="Tahoma" w:hAnsi="Tahoma" w:cs="Tahoma"/>
          <w:sz w:val="20"/>
          <w:szCs w:val="20"/>
        </w:rPr>
        <w:t xml:space="preserve">3342 </w:t>
      </w:r>
      <w:r w:rsidRPr="0018749A">
        <w:rPr>
          <w:rFonts w:ascii="Tahoma" w:hAnsi="Tahoma" w:cs="Tahoma"/>
          <w:sz w:val="20"/>
          <w:szCs w:val="20"/>
        </w:rPr>
        <w:t>mg/</w:t>
      </w:r>
      <w:r>
        <w:rPr>
          <w:rFonts w:ascii="Tahoma" w:hAnsi="Tahoma" w:cs="Tahoma"/>
          <w:sz w:val="20"/>
          <w:szCs w:val="20"/>
        </w:rPr>
        <w:t>tt</w:t>
      </w:r>
      <w:r w:rsidRPr="0018749A">
        <w:rPr>
          <w:rFonts w:ascii="Tahoma" w:hAnsi="Tahoma" w:cs="Tahoma"/>
          <w:sz w:val="20"/>
          <w:szCs w:val="20"/>
        </w:rPr>
        <w:t>kg</w:t>
      </w:r>
    </w:p>
    <w:p w:rsidR="00B0676C" w:rsidRDefault="00B0676C" w:rsidP="006B7A3E">
      <w:pPr>
        <w:pStyle w:val="Default"/>
        <w:tabs>
          <w:tab w:val="left" w:pos="3544"/>
        </w:tabs>
        <w:spacing w:before="60"/>
        <w:ind w:firstLine="3544"/>
        <w:rPr>
          <w:rFonts w:ascii="Tahoma" w:hAnsi="Tahoma" w:cs="Tahoma"/>
          <w:sz w:val="20"/>
          <w:szCs w:val="20"/>
        </w:rPr>
      </w:pPr>
      <w:r>
        <w:rPr>
          <w:rFonts w:ascii="Tahoma" w:hAnsi="Tahoma" w:cs="Tahoma"/>
          <w:sz w:val="20"/>
          <w:szCs w:val="20"/>
        </w:rPr>
        <w:t>Bőrirritáció: maró, 3 perc, OECD 404.</w:t>
      </w:r>
      <w:r>
        <w:rPr>
          <w:rFonts w:ascii="Tahoma" w:hAnsi="Tahoma" w:cs="Tahoma"/>
          <w:sz w:val="20"/>
          <w:szCs w:val="20"/>
        </w:rPr>
        <w:br/>
      </w:r>
      <w:r>
        <w:rPr>
          <w:rFonts w:ascii="Tahoma" w:hAnsi="Tahoma" w:cs="Tahoma"/>
          <w:sz w:val="20"/>
          <w:szCs w:val="20"/>
        </w:rPr>
        <w:tab/>
        <w:t>Nem szenzibilizál.</w:t>
      </w:r>
    </w:p>
    <w:p w:rsidR="00B0676C" w:rsidRPr="001610D0" w:rsidRDefault="00B0676C" w:rsidP="00C124FE">
      <w:pPr>
        <w:pStyle w:val="BodyTextIndent"/>
        <w:keepNext/>
        <w:ind w:left="0"/>
        <w:rPr>
          <w:b/>
          <w:bCs/>
        </w:rPr>
      </w:pPr>
      <w:r w:rsidRPr="001610D0">
        <w:rPr>
          <w:b/>
          <w:bCs/>
          <w:snapToGrid w:val="0"/>
        </w:rPr>
        <w:t>N-(3-aminopropil)-N-dodecil-propán-1,3-diamin</w:t>
      </w:r>
    </w:p>
    <w:p w:rsidR="00B0676C" w:rsidRPr="0018749A" w:rsidRDefault="00B0676C" w:rsidP="001610D0">
      <w:pPr>
        <w:pStyle w:val="Default"/>
        <w:tabs>
          <w:tab w:val="left" w:pos="2835"/>
        </w:tabs>
        <w:ind w:firstLine="567"/>
        <w:rPr>
          <w:rFonts w:ascii="Tahoma" w:hAnsi="Tahoma" w:cs="Tahoma"/>
          <w:sz w:val="20"/>
          <w:szCs w:val="20"/>
        </w:rPr>
      </w:pPr>
      <w:r>
        <w:rPr>
          <w:rFonts w:ascii="Tahoma" w:hAnsi="Tahoma" w:cs="Tahoma"/>
          <w:sz w:val="20"/>
          <w:szCs w:val="20"/>
        </w:rPr>
        <w:t>akut orális</w:t>
      </w:r>
      <w:r w:rsidRPr="0018749A">
        <w:rPr>
          <w:rFonts w:ascii="Tahoma" w:hAnsi="Tahoma" w:cs="Tahoma"/>
          <w:sz w:val="20"/>
          <w:szCs w:val="20"/>
        </w:rPr>
        <w:t xml:space="preserve"> LD</w:t>
      </w:r>
      <w:r w:rsidRPr="0018749A">
        <w:rPr>
          <w:rFonts w:ascii="Tahoma" w:hAnsi="Tahoma" w:cs="Tahoma"/>
          <w:sz w:val="20"/>
          <w:szCs w:val="20"/>
          <w:vertAlign w:val="subscript"/>
        </w:rPr>
        <w:t>50</w:t>
      </w:r>
      <w:r w:rsidRPr="0018749A">
        <w:rPr>
          <w:rFonts w:ascii="Tahoma" w:hAnsi="Tahoma" w:cs="Tahoma"/>
          <w:sz w:val="20"/>
          <w:szCs w:val="20"/>
        </w:rPr>
        <w:t xml:space="preserve"> (patkány):</w:t>
      </w:r>
      <w:r>
        <w:rPr>
          <w:rFonts w:ascii="Tahoma" w:hAnsi="Tahoma" w:cs="Tahoma"/>
          <w:sz w:val="20"/>
          <w:szCs w:val="20"/>
        </w:rPr>
        <w:t xml:space="preserve"> 261</w:t>
      </w:r>
      <w:r w:rsidRPr="0018749A">
        <w:rPr>
          <w:rFonts w:ascii="Tahoma" w:hAnsi="Tahoma" w:cs="Tahoma"/>
          <w:sz w:val="20"/>
          <w:szCs w:val="20"/>
        </w:rPr>
        <w:t xml:space="preserve"> mg/</w:t>
      </w:r>
      <w:r>
        <w:rPr>
          <w:rFonts w:ascii="Tahoma" w:hAnsi="Tahoma" w:cs="Tahoma"/>
          <w:sz w:val="20"/>
          <w:szCs w:val="20"/>
        </w:rPr>
        <w:t>tt</w:t>
      </w:r>
      <w:r w:rsidRPr="0018749A">
        <w:rPr>
          <w:rFonts w:ascii="Tahoma" w:hAnsi="Tahoma" w:cs="Tahoma"/>
          <w:sz w:val="20"/>
          <w:szCs w:val="20"/>
        </w:rPr>
        <w:t>kg</w:t>
      </w:r>
      <w:r>
        <w:rPr>
          <w:rFonts w:ascii="Tahoma" w:hAnsi="Tahoma" w:cs="Tahoma"/>
          <w:sz w:val="20"/>
          <w:szCs w:val="20"/>
        </w:rPr>
        <w:t xml:space="preserve"> – OECD 401</w:t>
      </w:r>
    </w:p>
    <w:p w:rsidR="00B0676C" w:rsidRDefault="00B0676C" w:rsidP="001610D0">
      <w:pPr>
        <w:pStyle w:val="Default"/>
        <w:tabs>
          <w:tab w:val="left" w:pos="2835"/>
        </w:tabs>
        <w:ind w:firstLine="567"/>
        <w:rPr>
          <w:rFonts w:ascii="Tahoma" w:hAnsi="Tahoma" w:cs="Tahoma"/>
          <w:sz w:val="20"/>
          <w:szCs w:val="20"/>
        </w:rPr>
      </w:pPr>
      <w:r>
        <w:rPr>
          <w:rFonts w:ascii="Tahoma" w:hAnsi="Tahoma" w:cs="Tahoma"/>
          <w:sz w:val="20"/>
          <w:szCs w:val="20"/>
        </w:rPr>
        <w:t>akut dermális</w:t>
      </w:r>
      <w:r w:rsidRPr="0018749A">
        <w:rPr>
          <w:rFonts w:ascii="Tahoma" w:hAnsi="Tahoma" w:cs="Tahoma"/>
          <w:sz w:val="20"/>
          <w:szCs w:val="20"/>
        </w:rPr>
        <w:t xml:space="preserve"> LD</w:t>
      </w:r>
      <w:r w:rsidRPr="0018749A">
        <w:rPr>
          <w:rFonts w:ascii="Tahoma" w:hAnsi="Tahoma" w:cs="Tahoma"/>
          <w:sz w:val="20"/>
          <w:szCs w:val="20"/>
          <w:vertAlign w:val="subscript"/>
        </w:rPr>
        <w:t>50</w:t>
      </w:r>
      <w:r w:rsidRPr="0018749A">
        <w:rPr>
          <w:rFonts w:ascii="Tahoma" w:hAnsi="Tahoma" w:cs="Tahoma"/>
          <w:sz w:val="20"/>
          <w:szCs w:val="20"/>
        </w:rPr>
        <w:t xml:space="preserve"> (</w:t>
      </w:r>
      <w:r>
        <w:rPr>
          <w:rFonts w:ascii="Tahoma" w:hAnsi="Tahoma" w:cs="Tahoma"/>
          <w:sz w:val="20"/>
          <w:szCs w:val="20"/>
        </w:rPr>
        <w:t>nyúl</w:t>
      </w:r>
      <w:r w:rsidRPr="0018749A">
        <w:rPr>
          <w:rFonts w:ascii="Tahoma" w:hAnsi="Tahoma" w:cs="Tahoma"/>
          <w:sz w:val="20"/>
          <w:szCs w:val="20"/>
        </w:rPr>
        <w:t xml:space="preserve">): </w:t>
      </w:r>
      <w:r>
        <w:rPr>
          <w:rFonts w:ascii="Tahoma" w:hAnsi="Tahoma" w:cs="Tahoma"/>
          <w:sz w:val="20"/>
          <w:szCs w:val="20"/>
        </w:rPr>
        <w:t xml:space="preserve">&gt; 600 </w:t>
      </w:r>
      <w:r w:rsidRPr="0018749A">
        <w:rPr>
          <w:rFonts w:ascii="Tahoma" w:hAnsi="Tahoma" w:cs="Tahoma"/>
          <w:sz w:val="20"/>
          <w:szCs w:val="20"/>
        </w:rPr>
        <w:t>mg/</w:t>
      </w:r>
      <w:r>
        <w:rPr>
          <w:rFonts w:ascii="Tahoma" w:hAnsi="Tahoma" w:cs="Tahoma"/>
          <w:sz w:val="20"/>
          <w:szCs w:val="20"/>
        </w:rPr>
        <w:t>tt</w:t>
      </w:r>
      <w:r w:rsidRPr="0018749A">
        <w:rPr>
          <w:rFonts w:ascii="Tahoma" w:hAnsi="Tahoma" w:cs="Tahoma"/>
          <w:sz w:val="20"/>
          <w:szCs w:val="20"/>
        </w:rPr>
        <w:t>kg</w:t>
      </w:r>
      <w:r>
        <w:rPr>
          <w:rFonts w:ascii="Tahoma" w:hAnsi="Tahoma" w:cs="Tahoma"/>
          <w:sz w:val="20"/>
          <w:szCs w:val="20"/>
        </w:rPr>
        <w:t xml:space="preserve"> – OECD 402</w:t>
      </w:r>
    </w:p>
    <w:p w:rsidR="00B0676C" w:rsidRDefault="00B0676C" w:rsidP="001610D0">
      <w:pPr>
        <w:pStyle w:val="Default"/>
        <w:spacing w:before="60"/>
        <w:ind w:firstLine="567"/>
        <w:rPr>
          <w:rFonts w:ascii="Tahoma" w:hAnsi="Tahoma" w:cs="Tahoma"/>
          <w:sz w:val="20"/>
          <w:szCs w:val="20"/>
        </w:rPr>
      </w:pPr>
      <w:r>
        <w:rPr>
          <w:rFonts w:ascii="Tahoma" w:hAnsi="Tahoma" w:cs="Tahoma"/>
          <w:sz w:val="20"/>
          <w:szCs w:val="20"/>
        </w:rPr>
        <w:t>Bőrmarás: mar, 3 perc, OECD 404, Szenzibilizáció: Nem szenzibilizál – OECD 406.</w:t>
      </w:r>
    </w:p>
    <w:p w:rsidR="00B0676C" w:rsidRDefault="00B0676C" w:rsidP="001610D0">
      <w:pPr>
        <w:pStyle w:val="Default"/>
        <w:spacing w:before="60"/>
        <w:ind w:firstLine="567"/>
        <w:rPr>
          <w:rFonts w:ascii="Tahoma" w:hAnsi="Tahoma" w:cs="Tahoma"/>
          <w:sz w:val="20"/>
          <w:szCs w:val="20"/>
        </w:rPr>
      </w:pPr>
      <w:r>
        <w:rPr>
          <w:rFonts w:ascii="Tahoma" w:hAnsi="Tahoma" w:cs="Tahoma"/>
          <w:sz w:val="20"/>
          <w:szCs w:val="20"/>
        </w:rPr>
        <w:t>NOAEL: 8 mg/ttkg/nap (orális, szubkrónikus 90 nap, patkány)</w:t>
      </w:r>
    </w:p>
    <w:p w:rsidR="00B0676C" w:rsidRDefault="00B0676C" w:rsidP="001610D0">
      <w:pPr>
        <w:pStyle w:val="Default"/>
        <w:ind w:firstLine="567"/>
        <w:rPr>
          <w:rFonts w:ascii="Tahoma" w:hAnsi="Tahoma" w:cs="Tahoma"/>
          <w:sz w:val="20"/>
          <w:szCs w:val="20"/>
        </w:rPr>
      </w:pPr>
      <w:r>
        <w:rPr>
          <w:rFonts w:ascii="Tahoma" w:hAnsi="Tahoma" w:cs="Tahoma"/>
          <w:sz w:val="20"/>
          <w:szCs w:val="20"/>
        </w:rPr>
        <w:t>NOAEL: 20 mg/ttkg/nap (orális, szubkrónikus, 90 nap, kutya)</w:t>
      </w:r>
    </w:p>
    <w:p w:rsidR="00B0676C" w:rsidRDefault="00B0676C" w:rsidP="001610D0">
      <w:pPr>
        <w:pStyle w:val="Default"/>
        <w:ind w:firstLine="567"/>
        <w:rPr>
          <w:rFonts w:ascii="Tahoma" w:hAnsi="Tahoma" w:cs="Tahoma"/>
          <w:sz w:val="20"/>
          <w:szCs w:val="20"/>
        </w:rPr>
      </w:pPr>
      <w:r>
        <w:rPr>
          <w:rFonts w:ascii="Tahoma" w:hAnsi="Tahoma" w:cs="Tahoma"/>
          <w:sz w:val="20"/>
          <w:szCs w:val="20"/>
        </w:rPr>
        <w:t xml:space="preserve">NOAEL: 15 mg/ttkg/nap (dermális, szubkrónikus, 90 nap, patkány) </w:t>
      </w:r>
    </w:p>
    <w:p w:rsidR="00B0676C" w:rsidRPr="00921F86" w:rsidRDefault="00B0676C" w:rsidP="00523C6F">
      <w:pPr>
        <w:pStyle w:val="BodyTextIndent"/>
        <w:ind w:left="0"/>
        <w:rPr>
          <w:b/>
          <w:bCs/>
        </w:rPr>
      </w:pPr>
      <w:r w:rsidRPr="00921F86">
        <w:rPr>
          <w:b/>
          <w:bCs/>
        </w:rPr>
        <w:t>Izopropanol</w:t>
      </w:r>
    </w:p>
    <w:p w:rsidR="00B0676C" w:rsidRPr="0018749A" w:rsidRDefault="00B0676C" w:rsidP="00D464D8">
      <w:pPr>
        <w:pStyle w:val="Default"/>
        <w:tabs>
          <w:tab w:val="left" w:pos="2835"/>
        </w:tabs>
        <w:ind w:firstLine="567"/>
        <w:rPr>
          <w:rFonts w:ascii="Tahoma" w:hAnsi="Tahoma" w:cs="Tahoma"/>
          <w:sz w:val="20"/>
          <w:szCs w:val="20"/>
        </w:rPr>
      </w:pPr>
      <w:r>
        <w:rPr>
          <w:rFonts w:ascii="Tahoma" w:hAnsi="Tahoma" w:cs="Tahoma"/>
          <w:sz w:val="20"/>
          <w:szCs w:val="20"/>
        </w:rPr>
        <w:t>akut orális</w:t>
      </w:r>
      <w:r w:rsidRPr="0018749A">
        <w:rPr>
          <w:rFonts w:ascii="Tahoma" w:hAnsi="Tahoma" w:cs="Tahoma"/>
          <w:sz w:val="20"/>
          <w:szCs w:val="20"/>
        </w:rPr>
        <w:t xml:space="preserve"> LD</w:t>
      </w:r>
      <w:r w:rsidRPr="0018749A">
        <w:rPr>
          <w:rFonts w:ascii="Tahoma" w:hAnsi="Tahoma" w:cs="Tahoma"/>
          <w:sz w:val="20"/>
          <w:szCs w:val="20"/>
          <w:vertAlign w:val="subscript"/>
        </w:rPr>
        <w:t>50</w:t>
      </w:r>
      <w:r w:rsidRPr="0018749A">
        <w:rPr>
          <w:rFonts w:ascii="Tahoma" w:hAnsi="Tahoma" w:cs="Tahoma"/>
          <w:sz w:val="20"/>
          <w:szCs w:val="20"/>
        </w:rPr>
        <w:t xml:space="preserve"> (patkány):</w:t>
      </w:r>
      <w:r>
        <w:rPr>
          <w:rFonts w:ascii="Tahoma" w:hAnsi="Tahoma" w:cs="Tahoma"/>
          <w:sz w:val="20"/>
          <w:szCs w:val="20"/>
        </w:rPr>
        <w:t xml:space="preserve"> 5045</w:t>
      </w:r>
      <w:r w:rsidRPr="0018749A">
        <w:rPr>
          <w:rFonts w:ascii="Tahoma" w:hAnsi="Tahoma" w:cs="Tahoma"/>
          <w:sz w:val="20"/>
          <w:szCs w:val="20"/>
        </w:rPr>
        <w:t xml:space="preserve"> mg/</w:t>
      </w:r>
      <w:r>
        <w:rPr>
          <w:rFonts w:ascii="Tahoma" w:hAnsi="Tahoma" w:cs="Tahoma"/>
          <w:sz w:val="20"/>
          <w:szCs w:val="20"/>
        </w:rPr>
        <w:t>tt</w:t>
      </w:r>
      <w:r w:rsidRPr="0018749A">
        <w:rPr>
          <w:rFonts w:ascii="Tahoma" w:hAnsi="Tahoma" w:cs="Tahoma"/>
          <w:sz w:val="20"/>
          <w:szCs w:val="20"/>
        </w:rPr>
        <w:t>kg</w:t>
      </w:r>
    </w:p>
    <w:p w:rsidR="00B0676C" w:rsidRDefault="00B0676C" w:rsidP="00D464D8">
      <w:pPr>
        <w:pStyle w:val="Default"/>
        <w:tabs>
          <w:tab w:val="left" w:pos="2835"/>
        </w:tabs>
        <w:ind w:firstLine="567"/>
        <w:rPr>
          <w:rFonts w:ascii="Tahoma" w:hAnsi="Tahoma" w:cs="Tahoma"/>
          <w:sz w:val="20"/>
          <w:szCs w:val="20"/>
        </w:rPr>
      </w:pPr>
      <w:r>
        <w:rPr>
          <w:rFonts w:ascii="Tahoma" w:hAnsi="Tahoma" w:cs="Tahoma"/>
          <w:sz w:val="20"/>
          <w:szCs w:val="20"/>
        </w:rPr>
        <w:t>akut dermális</w:t>
      </w:r>
      <w:r w:rsidRPr="0018749A">
        <w:rPr>
          <w:rFonts w:ascii="Tahoma" w:hAnsi="Tahoma" w:cs="Tahoma"/>
          <w:sz w:val="20"/>
          <w:szCs w:val="20"/>
        </w:rPr>
        <w:t xml:space="preserve"> LD</w:t>
      </w:r>
      <w:r w:rsidRPr="0018749A">
        <w:rPr>
          <w:rFonts w:ascii="Tahoma" w:hAnsi="Tahoma" w:cs="Tahoma"/>
          <w:sz w:val="20"/>
          <w:szCs w:val="20"/>
          <w:vertAlign w:val="subscript"/>
        </w:rPr>
        <w:t>50</w:t>
      </w:r>
      <w:r w:rsidRPr="0018749A">
        <w:rPr>
          <w:rFonts w:ascii="Tahoma" w:hAnsi="Tahoma" w:cs="Tahoma"/>
          <w:sz w:val="20"/>
          <w:szCs w:val="20"/>
        </w:rPr>
        <w:t xml:space="preserve"> (patkány): </w:t>
      </w:r>
      <w:r>
        <w:rPr>
          <w:rFonts w:ascii="Tahoma" w:hAnsi="Tahoma" w:cs="Tahoma"/>
          <w:sz w:val="20"/>
          <w:szCs w:val="20"/>
        </w:rPr>
        <w:t>12 800</w:t>
      </w:r>
      <w:r w:rsidRPr="0018749A">
        <w:rPr>
          <w:rFonts w:ascii="Tahoma" w:hAnsi="Tahoma" w:cs="Tahoma"/>
          <w:sz w:val="20"/>
          <w:szCs w:val="20"/>
        </w:rPr>
        <w:t>mg/</w:t>
      </w:r>
      <w:r>
        <w:rPr>
          <w:rFonts w:ascii="Tahoma" w:hAnsi="Tahoma" w:cs="Tahoma"/>
          <w:sz w:val="20"/>
          <w:szCs w:val="20"/>
        </w:rPr>
        <w:t>tt</w:t>
      </w:r>
      <w:r w:rsidRPr="0018749A">
        <w:rPr>
          <w:rFonts w:ascii="Tahoma" w:hAnsi="Tahoma" w:cs="Tahoma"/>
          <w:sz w:val="20"/>
          <w:szCs w:val="20"/>
        </w:rPr>
        <w:t>kg</w:t>
      </w:r>
    </w:p>
    <w:p w:rsidR="00B0676C" w:rsidRDefault="00B0676C" w:rsidP="00D464D8">
      <w:pPr>
        <w:pStyle w:val="Default"/>
        <w:tabs>
          <w:tab w:val="left" w:pos="2835"/>
        </w:tabs>
        <w:ind w:firstLine="567"/>
        <w:rPr>
          <w:rFonts w:ascii="Tahoma" w:hAnsi="Tahoma" w:cs="Tahoma"/>
          <w:sz w:val="20"/>
          <w:szCs w:val="20"/>
        </w:rPr>
      </w:pPr>
      <w:r>
        <w:rPr>
          <w:rFonts w:ascii="Tahoma" w:hAnsi="Tahoma" w:cs="Tahoma"/>
          <w:sz w:val="20"/>
          <w:szCs w:val="20"/>
        </w:rPr>
        <w:t>akut inhalációs LC</w:t>
      </w:r>
      <w:r w:rsidRPr="00A65780">
        <w:rPr>
          <w:rFonts w:ascii="Tahoma" w:hAnsi="Tahoma" w:cs="Tahoma"/>
          <w:sz w:val="20"/>
          <w:szCs w:val="20"/>
          <w:vertAlign w:val="subscript"/>
        </w:rPr>
        <w:t>50</w:t>
      </w:r>
      <w:r>
        <w:rPr>
          <w:rFonts w:ascii="Tahoma" w:hAnsi="Tahoma" w:cs="Tahoma"/>
          <w:sz w:val="20"/>
          <w:szCs w:val="20"/>
        </w:rPr>
        <w:t xml:space="preserve"> (patkány): 46,5 mg/l/4 óra</w:t>
      </w:r>
    </w:p>
    <w:p w:rsidR="00B0676C" w:rsidRDefault="00B0676C" w:rsidP="007E27A7">
      <w:pPr>
        <w:pStyle w:val="Default"/>
        <w:ind w:firstLine="567"/>
        <w:rPr>
          <w:rFonts w:ascii="Tahoma" w:hAnsi="Tahoma" w:cs="Tahoma"/>
          <w:sz w:val="20"/>
          <w:szCs w:val="20"/>
        </w:rPr>
      </w:pPr>
      <w:r w:rsidRPr="0018749A">
        <w:rPr>
          <w:rFonts w:ascii="Tahoma" w:hAnsi="Tahoma" w:cs="Tahoma"/>
          <w:sz w:val="20"/>
          <w:szCs w:val="20"/>
        </w:rPr>
        <w:t xml:space="preserve">Bőrirritáció (nyúl): </w:t>
      </w:r>
      <w:r>
        <w:rPr>
          <w:rFonts w:ascii="Tahoma" w:hAnsi="Tahoma" w:cs="Tahoma"/>
          <w:sz w:val="20"/>
          <w:szCs w:val="20"/>
        </w:rPr>
        <w:t xml:space="preserve">enyhe. </w:t>
      </w:r>
    </w:p>
    <w:p w:rsidR="00B0676C" w:rsidRDefault="00B0676C" w:rsidP="007E27A7">
      <w:pPr>
        <w:pStyle w:val="Default"/>
        <w:ind w:firstLine="567"/>
        <w:rPr>
          <w:rFonts w:ascii="Tahoma" w:hAnsi="Tahoma" w:cs="Tahoma"/>
          <w:sz w:val="20"/>
          <w:szCs w:val="20"/>
        </w:rPr>
      </w:pPr>
      <w:r>
        <w:rPr>
          <w:rFonts w:ascii="Tahoma" w:hAnsi="Tahoma" w:cs="Tahoma"/>
          <w:sz w:val="20"/>
          <w:szCs w:val="20"/>
        </w:rPr>
        <w:t xml:space="preserve">Szemirritáció (nyúl): erősen </w:t>
      </w:r>
      <w:r w:rsidRPr="0018749A">
        <w:rPr>
          <w:rFonts w:ascii="Tahoma" w:hAnsi="Tahoma" w:cs="Tahoma"/>
          <w:sz w:val="20"/>
          <w:szCs w:val="20"/>
        </w:rPr>
        <w:t>irritál</w:t>
      </w:r>
      <w:r>
        <w:rPr>
          <w:rFonts w:ascii="Tahoma" w:hAnsi="Tahoma" w:cs="Tahoma"/>
          <w:sz w:val="20"/>
          <w:szCs w:val="20"/>
        </w:rPr>
        <w:t>.</w:t>
      </w:r>
      <w:r w:rsidRPr="0018749A">
        <w:rPr>
          <w:rFonts w:ascii="Tahoma" w:hAnsi="Tahoma" w:cs="Tahoma"/>
          <w:sz w:val="20"/>
          <w:szCs w:val="20"/>
        </w:rPr>
        <w:t xml:space="preserve"> </w:t>
      </w:r>
      <w:r>
        <w:rPr>
          <w:rFonts w:ascii="Tahoma" w:hAnsi="Tahoma" w:cs="Tahoma"/>
          <w:sz w:val="20"/>
          <w:szCs w:val="20"/>
        </w:rPr>
        <w:t>Nem szenzibilizál.</w:t>
      </w:r>
    </w:p>
    <w:p w:rsidR="00B0676C" w:rsidRDefault="00B0676C" w:rsidP="002566AD">
      <w:pPr>
        <w:pStyle w:val="Default"/>
        <w:spacing w:before="120"/>
        <w:rPr>
          <w:rFonts w:ascii="Tahoma" w:hAnsi="Tahoma" w:cs="Tahoma"/>
          <w:sz w:val="20"/>
          <w:szCs w:val="20"/>
        </w:rPr>
      </w:pPr>
      <w:r w:rsidRPr="00100203">
        <w:rPr>
          <w:rFonts w:ascii="Tahoma" w:hAnsi="Tahoma" w:cs="Tahoma"/>
          <w:b/>
          <w:bCs/>
          <w:sz w:val="20"/>
          <w:szCs w:val="20"/>
        </w:rPr>
        <w:t>Rákkeltő hatás/mutagén hatás/reprodukciót károsító tulajdonság/egyéb káros hatások:</w:t>
      </w:r>
      <w:r>
        <w:rPr>
          <w:rFonts w:ascii="Tahoma" w:hAnsi="Tahoma" w:cs="Tahoma"/>
          <w:sz w:val="20"/>
          <w:szCs w:val="20"/>
        </w:rPr>
        <w:t xml:space="preserve"> nem jellemző/nincs információ/nem elérhető, jelentős hatás, kritikus veszély nem ismert. </w:t>
      </w:r>
    </w:p>
    <w:p w:rsidR="00B0676C" w:rsidRPr="00D14ED4" w:rsidRDefault="00B0676C" w:rsidP="00D464D8">
      <w:pPr>
        <w:keepNext/>
        <w:spacing w:before="120"/>
        <w:jc w:val="both"/>
        <w:rPr>
          <w:rFonts w:ascii="Tahoma" w:hAnsi="Tahoma" w:cs="Tahoma"/>
          <w:b/>
          <w:bCs/>
          <w:snapToGrid w:val="0"/>
        </w:rPr>
      </w:pPr>
      <w:r>
        <w:rPr>
          <w:rFonts w:ascii="Tahoma" w:hAnsi="Tahoma" w:cs="Tahoma"/>
          <w:b/>
          <w:bCs/>
          <w:snapToGrid w:val="0"/>
        </w:rPr>
        <w:t xml:space="preserve">11.3. </w:t>
      </w:r>
      <w:r w:rsidRPr="00D14ED4">
        <w:rPr>
          <w:rFonts w:ascii="Tahoma" w:hAnsi="Tahoma" w:cs="Tahoma"/>
          <w:b/>
          <w:bCs/>
          <w:snapToGrid w:val="0"/>
        </w:rPr>
        <w:t>A készítménnyel történő expozíció lehetséges hatásai, tünetek:</w:t>
      </w:r>
    </w:p>
    <w:p w:rsidR="00B0676C" w:rsidRDefault="00B0676C" w:rsidP="00C124FE">
      <w:pPr>
        <w:pStyle w:val="BodyTextIndent"/>
        <w:spacing w:before="0"/>
        <w:ind w:left="0"/>
      </w:pPr>
      <w:r w:rsidRPr="00D14ED4">
        <w:rPr>
          <w:b/>
          <w:bCs/>
        </w:rPr>
        <w:t>Szem:</w:t>
      </w:r>
      <w:r w:rsidRPr="00D14ED4">
        <w:t xml:space="preserve"> szembefröccsenése irritációt</w:t>
      </w:r>
      <w:r>
        <w:t xml:space="preserve">, szemkárosodást </w:t>
      </w:r>
      <w:r w:rsidRPr="00D14ED4">
        <w:t>okoz</w:t>
      </w:r>
      <w:r>
        <w:t>hat, viszketés, égő érzés, könnyezés, csípő érzés, fájdalom.</w:t>
      </w:r>
    </w:p>
    <w:p w:rsidR="00B0676C" w:rsidRDefault="00B0676C" w:rsidP="00C124FE">
      <w:pPr>
        <w:pStyle w:val="BodyTextIndent"/>
        <w:spacing w:before="0"/>
        <w:ind w:left="0"/>
      </w:pPr>
      <w:r>
        <w:rPr>
          <w:b/>
          <w:bCs/>
        </w:rPr>
        <w:t xml:space="preserve">Bőr: </w:t>
      </w:r>
      <w:r w:rsidRPr="00A15CE7">
        <w:t>tartós érintkezés esetén irritál.</w:t>
      </w:r>
      <w:r>
        <w:rPr>
          <w:b/>
          <w:bCs/>
        </w:rPr>
        <w:t xml:space="preserve"> A </w:t>
      </w:r>
      <w:r w:rsidRPr="00327C1A">
        <w:rPr>
          <w:b/>
          <w:bCs/>
        </w:rPr>
        <w:t>termék alkalmazása:</w:t>
      </w:r>
      <w:r>
        <w:t xml:space="preserve"> A megnedvesített kezekre 3 – 5 ml készítményt kell adagolni, melyet a kézen habképződés mellett el kell dörzsölni 30 – 60 másodpercig. A hatásidő eltelte után meleg folyó vízzel a kezet alaposan le kell öblíteni. </w:t>
      </w:r>
    </w:p>
    <w:p w:rsidR="00B0676C" w:rsidRDefault="00B0676C" w:rsidP="00C124FE">
      <w:pPr>
        <w:pStyle w:val="BodyTextIndent"/>
        <w:spacing w:before="0"/>
        <w:ind w:left="0"/>
      </w:pPr>
      <w:r w:rsidRPr="00D14ED4">
        <w:rPr>
          <w:b/>
          <w:bCs/>
        </w:rPr>
        <w:t>Lenyelés:</w:t>
      </w:r>
      <w:r w:rsidRPr="00D14ED4">
        <w:t xml:space="preserve"> </w:t>
      </w:r>
      <w:r>
        <w:t>k</w:t>
      </w:r>
      <w:r w:rsidRPr="00D14ED4">
        <w:t xml:space="preserve">is mennyiségek lenyelése valószínűsíthetően nem ártalmas, </w:t>
      </w:r>
      <w:r>
        <w:t xml:space="preserve">gyomor-bélrendszeri tünetek léphetnek fel. </w:t>
      </w:r>
    </w:p>
    <w:p w:rsidR="00B0676C" w:rsidRDefault="00B0676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B0676C" w:rsidRDefault="00B0676C" w:rsidP="00100203">
      <w:pPr>
        <w:pStyle w:val="BodyTextIndent2"/>
        <w:ind w:left="0"/>
      </w:pPr>
      <w:r w:rsidRPr="00FE60D4">
        <w:rPr>
          <w:b/>
          <w:bCs/>
        </w:rPr>
        <w:t>12.1</w:t>
      </w:r>
      <w:r>
        <w:t xml:space="preserve">. </w:t>
      </w:r>
      <w:r w:rsidRPr="00087B12">
        <w:rPr>
          <w:b/>
          <w:bCs/>
        </w:rPr>
        <w:t xml:space="preserve">Az </w:t>
      </w:r>
      <w:r>
        <w:rPr>
          <w:b/>
          <w:bCs/>
        </w:rPr>
        <w:t>öko</w:t>
      </w:r>
      <w:r w:rsidRPr="00087B12">
        <w:rPr>
          <w:b/>
          <w:bCs/>
        </w:rPr>
        <w:t>toxikológiai hatásokra vonatkozó információ:</w:t>
      </w:r>
      <w:r w:rsidRPr="00087B12">
        <w:t xml:space="preserve"> </w:t>
      </w:r>
      <w:r>
        <w:t>a</w:t>
      </w:r>
      <w:r w:rsidRPr="001A71E5">
        <w:t xml:space="preserve"> készítmén</w:t>
      </w:r>
      <w:r>
        <w:t xml:space="preserve">nyel célzott </w:t>
      </w:r>
      <w:r w:rsidRPr="001A71E5">
        <w:t xml:space="preserve">vizsgálatokat nem végeztek. Megítélése kizárólag a komponensekre vonatkozó ökotoxikológiai adatok, besorolása </w:t>
      </w:r>
      <w:r>
        <w:t>a CLP-</w:t>
      </w:r>
      <w:r w:rsidRPr="001A71E5">
        <w:t>rendelet alapján történt.</w:t>
      </w:r>
      <w:r>
        <w:t xml:space="preserve"> A termék összetétele alapján környezeti veszélyt jelent, mérgező a vízi élővilágra, Az M</w:t>
      </w:r>
      <w:r w:rsidRPr="003A49C6">
        <w:rPr>
          <w:vertAlign w:val="subscript"/>
        </w:rPr>
        <w:t>(akut)</w:t>
      </w:r>
      <w:r>
        <w:t xml:space="preserve"> tényező értéke az adatok alapján 10. </w:t>
      </w:r>
    </w:p>
    <w:p w:rsidR="00B0676C" w:rsidRPr="00963038" w:rsidRDefault="00B0676C" w:rsidP="00100203">
      <w:pPr>
        <w:pStyle w:val="BodyTextIndent"/>
        <w:ind w:left="0"/>
      </w:pPr>
      <w:r w:rsidRPr="00963038">
        <w:t>A didecil-dimetil-ammónium-klorid hatóanyagra vonatkozó adatok, beszállító biztonsági adatlapjáról</w:t>
      </w:r>
      <w:r>
        <w:t>:</w:t>
      </w:r>
      <w:r w:rsidRPr="00963038">
        <w:t xml:space="preserve"> </w:t>
      </w:r>
    </w:p>
    <w:p w:rsidR="00B0676C" w:rsidRDefault="00B0676C" w:rsidP="00100203">
      <w:pPr>
        <w:jc w:val="both"/>
        <w:rPr>
          <w:rFonts w:ascii="Tahoma" w:hAnsi="Tahoma" w:cs="Tahoma"/>
        </w:rPr>
      </w:pPr>
      <w:r w:rsidRPr="00952B8E">
        <w:rPr>
          <w:rFonts w:ascii="Tahoma" w:hAnsi="Tahoma" w:cs="Tahoma"/>
        </w:rPr>
        <w:tab/>
        <w:t>LC</w:t>
      </w:r>
      <w:r w:rsidRPr="00952B8E">
        <w:rPr>
          <w:rFonts w:ascii="Tahoma" w:hAnsi="Tahoma" w:cs="Tahoma"/>
          <w:vertAlign w:val="subscript"/>
        </w:rPr>
        <w:t>50</w:t>
      </w:r>
      <w:r>
        <w:rPr>
          <w:rFonts w:ascii="Tahoma" w:hAnsi="Tahoma" w:cs="Tahoma"/>
        </w:rPr>
        <w:t xml:space="preserve"> (</w:t>
      </w:r>
      <w:r w:rsidRPr="009062AF">
        <w:rPr>
          <w:rFonts w:ascii="Tahoma" w:hAnsi="Tahoma" w:cs="Tahoma"/>
          <w:i/>
          <w:iCs/>
        </w:rPr>
        <w:t>Pimephales promelas</w:t>
      </w:r>
      <w:r w:rsidRPr="00982566">
        <w:rPr>
          <w:rFonts w:ascii="Tahoma" w:hAnsi="Tahoma" w:cs="Tahoma"/>
          <w:i/>
          <w:iCs/>
        </w:rPr>
        <w:t>,</w:t>
      </w:r>
      <w:r>
        <w:rPr>
          <w:rFonts w:ascii="Tahoma" w:hAnsi="Tahoma" w:cs="Tahoma"/>
        </w:rPr>
        <w:t xml:space="preserve"> 96 óra): 0,19</w:t>
      </w:r>
      <w:r w:rsidRPr="00952B8E">
        <w:rPr>
          <w:rFonts w:ascii="Tahoma" w:hAnsi="Tahoma" w:cs="Tahoma"/>
        </w:rPr>
        <w:t xml:space="preserve"> mg/l </w:t>
      </w:r>
      <w:r>
        <w:rPr>
          <w:rFonts w:ascii="Tahoma" w:hAnsi="Tahoma" w:cs="Tahoma"/>
        </w:rPr>
        <w:t>US-EPA</w:t>
      </w:r>
    </w:p>
    <w:p w:rsidR="00B0676C" w:rsidRPr="00952B8E" w:rsidRDefault="00B0676C" w:rsidP="00100203">
      <w:pPr>
        <w:jc w:val="both"/>
        <w:rPr>
          <w:rFonts w:ascii="Tahoma" w:hAnsi="Tahoma" w:cs="Tahoma"/>
        </w:rPr>
      </w:pPr>
      <w:r>
        <w:rPr>
          <w:rFonts w:ascii="Tahoma" w:hAnsi="Tahoma" w:cs="Tahoma"/>
        </w:rPr>
        <w:tab/>
        <w:t>NOEC (</w:t>
      </w:r>
      <w:r w:rsidRPr="009062AF">
        <w:rPr>
          <w:rFonts w:ascii="Tahoma" w:hAnsi="Tahoma" w:cs="Tahoma"/>
          <w:i/>
          <w:iCs/>
        </w:rPr>
        <w:t>Dania rerio</w:t>
      </w:r>
      <w:r>
        <w:rPr>
          <w:rFonts w:ascii="Tahoma" w:hAnsi="Tahoma" w:cs="Tahoma"/>
        </w:rPr>
        <w:t>, 34 nap): 0,032 mg/l – OECD 210</w:t>
      </w:r>
    </w:p>
    <w:p w:rsidR="00B0676C" w:rsidRPr="00952B8E" w:rsidRDefault="00B0676C" w:rsidP="00100203">
      <w:pPr>
        <w:tabs>
          <w:tab w:val="left" w:pos="2127"/>
        </w:tabs>
        <w:autoSpaceDE w:val="0"/>
        <w:autoSpaceDN w:val="0"/>
        <w:adjustRightInd w:val="0"/>
        <w:ind w:left="851" w:hanging="142"/>
        <w:rPr>
          <w:rFonts w:ascii="Tahoma" w:hAnsi="Tahoma" w:cs="Tahoma"/>
        </w:rPr>
      </w:pPr>
      <w:r w:rsidRPr="00952B8E">
        <w:rPr>
          <w:rFonts w:ascii="Tahoma" w:hAnsi="Tahoma" w:cs="Tahoma"/>
        </w:rPr>
        <w:t>EC</w:t>
      </w:r>
      <w:r w:rsidRPr="00952B8E">
        <w:rPr>
          <w:rFonts w:ascii="Tahoma" w:hAnsi="Tahoma" w:cs="Tahoma"/>
          <w:vertAlign w:val="subscript"/>
        </w:rPr>
        <w:t>50</w:t>
      </w:r>
      <w:r>
        <w:rPr>
          <w:rFonts w:ascii="Tahoma" w:hAnsi="Tahoma" w:cs="Tahoma"/>
        </w:rPr>
        <w:t xml:space="preserve"> (</w:t>
      </w:r>
      <w:r w:rsidRPr="00514A07">
        <w:rPr>
          <w:rFonts w:ascii="Tahoma" w:hAnsi="Tahoma" w:cs="Tahoma"/>
          <w:i/>
          <w:iCs/>
        </w:rPr>
        <w:t>Dap</w:t>
      </w:r>
      <w:r>
        <w:rPr>
          <w:rFonts w:ascii="Tahoma" w:hAnsi="Tahoma" w:cs="Tahoma"/>
          <w:i/>
          <w:iCs/>
        </w:rPr>
        <w:t>h</w:t>
      </w:r>
      <w:r w:rsidRPr="00514A07">
        <w:rPr>
          <w:rFonts w:ascii="Tahoma" w:hAnsi="Tahoma" w:cs="Tahoma"/>
          <w:i/>
          <w:iCs/>
        </w:rPr>
        <w:t>nia magna</w:t>
      </w:r>
      <w:r>
        <w:rPr>
          <w:rFonts w:ascii="Tahoma" w:hAnsi="Tahoma" w:cs="Tahoma"/>
        </w:rPr>
        <w:t xml:space="preserve">, 48 óra): </w:t>
      </w:r>
      <w:r w:rsidRPr="00952B8E">
        <w:rPr>
          <w:rFonts w:ascii="Tahoma" w:hAnsi="Tahoma" w:cs="Tahoma"/>
        </w:rPr>
        <w:t>0,0</w:t>
      </w:r>
      <w:r>
        <w:rPr>
          <w:rFonts w:ascii="Tahoma" w:hAnsi="Tahoma" w:cs="Tahoma"/>
        </w:rPr>
        <w:t>62</w:t>
      </w:r>
      <w:r w:rsidRPr="00952B8E">
        <w:rPr>
          <w:rFonts w:ascii="Tahoma" w:hAnsi="Tahoma" w:cs="Tahoma"/>
        </w:rPr>
        <w:t xml:space="preserve"> mg/l </w:t>
      </w:r>
      <w:r>
        <w:rPr>
          <w:rFonts w:ascii="Tahoma" w:hAnsi="Tahoma" w:cs="Tahoma"/>
        </w:rPr>
        <w:t>– EPA - FIFRA</w:t>
      </w:r>
    </w:p>
    <w:p w:rsidR="00B0676C" w:rsidRDefault="00B0676C" w:rsidP="009062AF">
      <w:pPr>
        <w:tabs>
          <w:tab w:val="left" w:pos="2127"/>
        </w:tabs>
        <w:autoSpaceDE w:val="0"/>
        <w:autoSpaceDN w:val="0"/>
        <w:adjustRightInd w:val="0"/>
        <w:ind w:left="851" w:hanging="142"/>
        <w:rPr>
          <w:rFonts w:ascii="Tahoma" w:hAnsi="Tahoma" w:cs="Tahoma"/>
        </w:rPr>
      </w:pPr>
      <w:r>
        <w:rPr>
          <w:rFonts w:ascii="Tahoma" w:hAnsi="Tahoma" w:cs="Tahoma"/>
        </w:rPr>
        <w:t>NOEC (</w:t>
      </w:r>
      <w:r w:rsidRPr="00514A07">
        <w:rPr>
          <w:rFonts w:ascii="Tahoma" w:hAnsi="Tahoma" w:cs="Tahoma"/>
          <w:i/>
          <w:iCs/>
        </w:rPr>
        <w:t>Dap</w:t>
      </w:r>
      <w:r>
        <w:rPr>
          <w:rFonts w:ascii="Tahoma" w:hAnsi="Tahoma" w:cs="Tahoma"/>
          <w:i/>
          <w:iCs/>
        </w:rPr>
        <w:t>h</w:t>
      </w:r>
      <w:r w:rsidRPr="00514A07">
        <w:rPr>
          <w:rFonts w:ascii="Tahoma" w:hAnsi="Tahoma" w:cs="Tahoma"/>
          <w:i/>
          <w:iCs/>
        </w:rPr>
        <w:t>nia magna</w:t>
      </w:r>
      <w:r>
        <w:rPr>
          <w:rFonts w:ascii="Tahoma" w:hAnsi="Tahoma" w:cs="Tahoma"/>
        </w:rPr>
        <w:t xml:space="preserve">, 21 nap): </w:t>
      </w:r>
      <w:r w:rsidRPr="00952B8E">
        <w:rPr>
          <w:rFonts w:ascii="Tahoma" w:hAnsi="Tahoma" w:cs="Tahoma"/>
        </w:rPr>
        <w:t>0,0</w:t>
      </w:r>
      <w:r>
        <w:rPr>
          <w:rFonts w:ascii="Tahoma" w:hAnsi="Tahoma" w:cs="Tahoma"/>
        </w:rPr>
        <w:t>10</w:t>
      </w:r>
      <w:r w:rsidRPr="00952B8E">
        <w:rPr>
          <w:rFonts w:ascii="Tahoma" w:hAnsi="Tahoma" w:cs="Tahoma"/>
        </w:rPr>
        <w:t xml:space="preserve"> mg/l </w:t>
      </w:r>
      <w:r>
        <w:rPr>
          <w:rFonts w:ascii="Tahoma" w:hAnsi="Tahoma" w:cs="Tahoma"/>
        </w:rPr>
        <w:t>– OECD 211</w:t>
      </w:r>
    </w:p>
    <w:p w:rsidR="00B0676C" w:rsidRPr="00963038" w:rsidRDefault="00B0676C" w:rsidP="00BB54E4">
      <w:pPr>
        <w:pStyle w:val="BodyTextIndent"/>
        <w:ind w:left="0"/>
      </w:pPr>
      <w:r w:rsidRPr="00963038">
        <w:t xml:space="preserve">A </w:t>
      </w:r>
      <w:r w:rsidRPr="00BB54E4">
        <w:t>N-(3-aminopropil)-N-dodecil-propán-1,3-diamin</w:t>
      </w:r>
      <w:r w:rsidRPr="00963038">
        <w:t xml:space="preserve"> vonatkozó adatok, beszállító biztonsági adatlapjáról</w:t>
      </w:r>
      <w:r>
        <w:t>:</w:t>
      </w:r>
    </w:p>
    <w:p w:rsidR="00B0676C" w:rsidRDefault="00B0676C" w:rsidP="00BB54E4">
      <w:pPr>
        <w:jc w:val="both"/>
        <w:rPr>
          <w:rFonts w:ascii="Tahoma" w:hAnsi="Tahoma" w:cs="Tahoma"/>
        </w:rPr>
      </w:pPr>
      <w:r w:rsidRPr="00952B8E">
        <w:rPr>
          <w:rFonts w:ascii="Tahoma" w:hAnsi="Tahoma" w:cs="Tahoma"/>
        </w:rPr>
        <w:tab/>
        <w:t>LC</w:t>
      </w:r>
      <w:r w:rsidRPr="00952B8E">
        <w:rPr>
          <w:rFonts w:ascii="Tahoma" w:hAnsi="Tahoma" w:cs="Tahoma"/>
          <w:vertAlign w:val="subscript"/>
        </w:rPr>
        <w:t>50</w:t>
      </w:r>
      <w:r>
        <w:rPr>
          <w:rFonts w:ascii="Tahoma" w:hAnsi="Tahoma" w:cs="Tahoma"/>
        </w:rPr>
        <w:t xml:space="preserve"> (</w:t>
      </w:r>
      <w:r w:rsidRPr="00BB54E4">
        <w:rPr>
          <w:rFonts w:ascii="Tahoma" w:hAnsi="Tahoma" w:cs="Tahoma"/>
          <w:i/>
          <w:iCs/>
        </w:rPr>
        <w:t>Oncorhynchus mykiss,</w:t>
      </w:r>
      <w:r>
        <w:rPr>
          <w:rFonts w:ascii="Tahoma" w:hAnsi="Tahoma" w:cs="Tahoma"/>
        </w:rPr>
        <w:t xml:space="preserve"> 96 óra): 0,68</w:t>
      </w:r>
      <w:r w:rsidRPr="00952B8E">
        <w:rPr>
          <w:rFonts w:ascii="Tahoma" w:hAnsi="Tahoma" w:cs="Tahoma"/>
        </w:rPr>
        <w:t xml:space="preserve"> mg/l </w:t>
      </w:r>
      <w:r>
        <w:rPr>
          <w:rFonts w:ascii="Tahoma" w:hAnsi="Tahoma" w:cs="Tahoma"/>
        </w:rPr>
        <w:t>– OECD 203</w:t>
      </w:r>
    </w:p>
    <w:p w:rsidR="00B0676C" w:rsidRPr="00952B8E" w:rsidRDefault="00B0676C" w:rsidP="00BB54E4">
      <w:pPr>
        <w:tabs>
          <w:tab w:val="left" w:pos="2127"/>
        </w:tabs>
        <w:autoSpaceDE w:val="0"/>
        <w:autoSpaceDN w:val="0"/>
        <w:adjustRightInd w:val="0"/>
        <w:ind w:left="851" w:hanging="142"/>
        <w:rPr>
          <w:rFonts w:ascii="Tahoma" w:hAnsi="Tahoma" w:cs="Tahoma"/>
        </w:rPr>
      </w:pPr>
      <w:r w:rsidRPr="00952B8E">
        <w:rPr>
          <w:rFonts w:ascii="Tahoma" w:hAnsi="Tahoma" w:cs="Tahoma"/>
        </w:rPr>
        <w:t>EC</w:t>
      </w:r>
      <w:r w:rsidRPr="00952B8E">
        <w:rPr>
          <w:rFonts w:ascii="Tahoma" w:hAnsi="Tahoma" w:cs="Tahoma"/>
          <w:vertAlign w:val="subscript"/>
        </w:rPr>
        <w:t>50</w:t>
      </w:r>
      <w:r>
        <w:rPr>
          <w:rFonts w:ascii="Tahoma" w:hAnsi="Tahoma" w:cs="Tahoma"/>
        </w:rPr>
        <w:t xml:space="preserve"> (</w:t>
      </w:r>
      <w:r w:rsidRPr="00514A07">
        <w:rPr>
          <w:rFonts w:ascii="Tahoma" w:hAnsi="Tahoma" w:cs="Tahoma"/>
          <w:i/>
          <w:iCs/>
        </w:rPr>
        <w:t>Dap</w:t>
      </w:r>
      <w:r>
        <w:rPr>
          <w:rFonts w:ascii="Tahoma" w:hAnsi="Tahoma" w:cs="Tahoma"/>
          <w:i/>
          <w:iCs/>
        </w:rPr>
        <w:t>h</w:t>
      </w:r>
      <w:r w:rsidRPr="00514A07">
        <w:rPr>
          <w:rFonts w:ascii="Tahoma" w:hAnsi="Tahoma" w:cs="Tahoma"/>
          <w:i/>
          <w:iCs/>
        </w:rPr>
        <w:t>nia magna</w:t>
      </w:r>
      <w:r>
        <w:rPr>
          <w:rFonts w:ascii="Tahoma" w:hAnsi="Tahoma" w:cs="Tahoma"/>
        </w:rPr>
        <w:t xml:space="preserve">, 48 óra): </w:t>
      </w:r>
      <w:r w:rsidRPr="00952B8E">
        <w:rPr>
          <w:rFonts w:ascii="Tahoma" w:hAnsi="Tahoma" w:cs="Tahoma"/>
        </w:rPr>
        <w:t>0,0</w:t>
      </w:r>
      <w:r>
        <w:rPr>
          <w:rFonts w:ascii="Tahoma" w:hAnsi="Tahoma" w:cs="Tahoma"/>
        </w:rPr>
        <w:t>62</w:t>
      </w:r>
      <w:r w:rsidRPr="00952B8E">
        <w:rPr>
          <w:rFonts w:ascii="Tahoma" w:hAnsi="Tahoma" w:cs="Tahoma"/>
        </w:rPr>
        <w:t xml:space="preserve"> mg/l </w:t>
      </w:r>
      <w:r>
        <w:rPr>
          <w:rFonts w:ascii="Tahoma" w:hAnsi="Tahoma" w:cs="Tahoma"/>
        </w:rPr>
        <w:t>– EPA - FIFRA</w:t>
      </w:r>
    </w:p>
    <w:p w:rsidR="00B0676C" w:rsidRPr="00952B8E" w:rsidRDefault="00B0676C" w:rsidP="00BB54E4">
      <w:pPr>
        <w:tabs>
          <w:tab w:val="left" w:pos="2127"/>
        </w:tabs>
        <w:autoSpaceDE w:val="0"/>
        <w:autoSpaceDN w:val="0"/>
        <w:adjustRightInd w:val="0"/>
        <w:ind w:left="851" w:hanging="142"/>
        <w:rPr>
          <w:rFonts w:ascii="Tahoma" w:hAnsi="Tahoma" w:cs="Tahoma"/>
        </w:rPr>
      </w:pPr>
      <w:r>
        <w:rPr>
          <w:rFonts w:ascii="Tahoma" w:hAnsi="Tahoma" w:cs="Tahoma"/>
        </w:rPr>
        <w:t>NOEC (</w:t>
      </w:r>
      <w:r w:rsidRPr="00514A07">
        <w:rPr>
          <w:rFonts w:ascii="Tahoma" w:hAnsi="Tahoma" w:cs="Tahoma"/>
          <w:i/>
          <w:iCs/>
        </w:rPr>
        <w:t>Dap</w:t>
      </w:r>
      <w:r>
        <w:rPr>
          <w:rFonts w:ascii="Tahoma" w:hAnsi="Tahoma" w:cs="Tahoma"/>
          <w:i/>
          <w:iCs/>
        </w:rPr>
        <w:t>h</w:t>
      </w:r>
      <w:r w:rsidRPr="00514A07">
        <w:rPr>
          <w:rFonts w:ascii="Tahoma" w:hAnsi="Tahoma" w:cs="Tahoma"/>
          <w:i/>
          <w:iCs/>
        </w:rPr>
        <w:t>nia magna</w:t>
      </w:r>
      <w:r>
        <w:rPr>
          <w:rFonts w:ascii="Tahoma" w:hAnsi="Tahoma" w:cs="Tahoma"/>
        </w:rPr>
        <w:t xml:space="preserve">, 21 nap): </w:t>
      </w:r>
      <w:r w:rsidRPr="00952B8E">
        <w:rPr>
          <w:rFonts w:ascii="Tahoma" w:hAnsi="Tahoma" w:cs="Tahoma"/>
        </w:rPr>
        <w:t>0,0</w:t>
      </w:r>
      <w:r>
        <w:rPr>
          <w:rFonts w:ascii="Tahoma" w:hAnsi="Tahoma" w:cs="Tahoma"/>
        </w:rPr>
        <w:t>24</w:t>
      </w:r>
      <w:r w:rsidRPr="00952B8E">
        <w:rPr>
          <w:rFonts w:ascii="Tahoma" w:hAnsi="Tahoma" w:cs="Tahoma"/>
        </w:rPr>
        <w:t xml:space="preserve"> mg/l </w:t>
      </w:r>
      <w:r>
        <w:rPr>
          <w:rFonts w:ascii="Tahoma" w:hAnsi="Tahoma" w:cs="Tahoma"/>
        </w:rPr>
        <w:t>– OECD 211</w:t>
      </w:r>
    </w:p>
    <w:p w:rsidR="00B0676C" w:rsidRPr="00952B8E" w:rsidRDefault="00B0676C" w:rsidP="009062AF">
      <w:pPr>
        <w:tabs>
          <w:tab w:val="left" w:pos="2127"/>
        </w:tabs>
        <w:autoSpaceDE w:val="0"/>
        <w:autoSpaceDN w:val="0"/>
        <w:adjustRightInd w:val="0"/>
        <w:ind w:left="851" w:hanging="142"/>
        <w:rPr>
          <w:rFonts w:ascii="Tahoma" w:hAnsi="Tahoma" w:cs="Tahoma"/>
        </w:rPr>
      </w:pPr>
      <w:r>
        <w:rPr>
          <w:rFonts w:ascii="Tahoma" w:hAnsi="Tahoma" w:cs="Tahoma"/>
        </w:rPr>
        <w:t>ErC</w:t>
      </w:r>
      <w:r w:rsidRPr="007E27A7">
        <w:rPr>
          <w:rFonts w:ascii="Tahoma" w:hAnsi="Tahoma" w:cs="Tahoma"/>
          <w:vertAlign w:val="subscript"/>
        </w:rPr>
        <w:t>50</w:t>
      </w:r>
      <w:r>
        <w:rPr>
          <w:rFonts w:ascii="Tahoma" w:hAnsi="Tahoma" w:cs="Tahoma"/>
        </w:rPr>
        <w:t xml:space="preserve"> (</w:t>
      </w:r>
      <w:r w:rsidRPr="007E27A7">
        <w:rPr>
          <w:rFonts w:ascii="Tahoma" w:hAnsi="Tahoma" w:cs="Tahoma"/>
          <w:i/>
          <w:iCs/>
        </w:rPr>
        <w:t>Pseudokirchneriella subcapitata,</w:t>
      </w:r>
      <w:r>
        <w:rPr>
          <w:rFonts w:ascii="Tahoma" w:hAnsi="Tahoma" w:cs="Tahoma"/>
        </w:rPr>
        <w:t xml:space="preserve"> 96 óra): 0,054 mg/l – US-EPA</w:t>
      </w:r>
    </w:p>
    <w:p w:rsidR="00B0676C" w:rsidRDefault="00B0676C" w:rsidP="000F0E73">
      <w:pPr>
        <w:pStyle w:val="BodyTextIndent2"/>
        <w:tabs>
          <w:tab w:val="left" w:pos="1276"/>
        </w:tabs>
        <w:spacing w:before="60"/>
        <w:ind w:left="0"/>
      </w:pPr>
      <w:r w:rsidRPr="001A71E5">
        <w:rPr>
          <w:b/>
          <w:bCs/>
        </w:rPr>
        <w:t>12.</w:t>
      </w:r>
      <w:r>
        <w:rPr>
          <w:b/>
          <w:bCs/>
        </w:rPr>
        <w:t>2</w:t>
      </w:r>
      <w:r w:rsidRPr="001A71E5">
        <w:rPr>
          <w:b/>
          <w:bCs/>
        </w:rPr>
        <w:t>. Perzisztencia és lebonthatóság:</w:t>
      </w:r>
      <w:r>
        <w:rPr>
          <w:b/>
          <w:bCs/>
        </w:rPr>
        <w:t xml:space="preserve"> </w:t>
      </w:r>
      <w:r w:rsidRPr="0012223F">
        <w:t>a</w:t>
      </w:r>
      <w:r w:rsidRPr="00952B8E">
        <w:t xml:space="preserve"> </w:t>
      </w:r>
      <w:r>
        <w:t>didecil-dimetil</w:t>
      </w:r>
      <w:r w:rsidRPr="00952B8E">
        <w:t xml:space="preserve">-ammónium-klorid </w:t>
      </w:r>
      <w:r>
        <w:t xml:space="preserve">és az </w:t>
      </w:r>
      <w:r w:rsidRPr="00BB54E4">
        <w:t>N-(3-aminopropil)-N-dodecil-propán-1,3-diamin</w:t>
      </w:r>
      <w:r>
        <w:t xml:space="preserve"> biológiailag könnyen lebontható (OECD 301B): 72 – 79%. Az izopropanol biológiailag szintén könnyen lebontható. </w:t>
      </w:r>
    </w:p>
    <w:p w:rsidR="00B0676C" w:rsidRDefault="00B0676C" w:rsidP="000F0E73">
      <w:pPr>
        <w:pStyle w:val="BodyTextIndent2"/>
        <w:tabs>
          <w:tab w:val="left" w:pos="1276"/>
        </w:tabs>
        <w:spacing w:before="60"/>
        <w:ind w:left="0"/>
      </w:pPr>
      <w:r>
        <w:t>A</w:t>
      </w:r>
      <w:r w:rsidRPr="00A70C8D">
        <w:t xml:space="preserve"> termékben lévő </w:t>
      </w:r>
      <w:r>
        <w:t xml:space="preserve">egyéb </w:t>
      </w:r>
      <w:r w:rsidRPr="00A70C8D">
        <w:t>felületaktív anyag</w:t>
      </w:r>
      <w:r>
        <w:t>(ok)</w:t>
      </w:r>
      <w:r w:rsidRPr="00A70C8D">
        <w:t xml:space="preserve"> megfelel</w:t>
      </w:r>
      <w:r>
        <w:t xml:space="preserve">(nek) </w:t>
      </w:r>
      <w:r w:rsidRPr="00A70C8D">
        <w:t>a 648/2004/EK rendeletben előírt biológiai lebomlási kritériumoknak. Az ezt alátámasztó adatok mindenkor a tagállamok illetékes szerveinek a rendelkezésére állnak, és közvetlen kérésükre vagy a tisztítószer gyártó kérésére megtekinthetők.</w:t>
      </w:r>
      <w:r>
        <w:t xml:space="preserve"> </w:t>
      </w:r>
    </w:p>
    <w:p w:rsidR="00B0676C" w:rsidRDefault="00B0676C"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nem valószínűsíthető.</w:t>
      </w:r>
    </w:p>
    <w:p w:rsidR="00B0676C" w:rsidRDefault="00B0676C"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B0676C" w:rsidRDefault="00B0676C" w:rsidP="000F0E73">
      <w:pPr>
        <w:pStyle w:val="BodyTextIndent2"/>
        <w:spacing w:before="60"/>
        <w:ind w:left="0"/>
        <w:rPr>
          <w:b/>
          <w:bCs/>
        </w:rPr>
      </w:pPr>
      <w:r w:rsidRPr="0083583D">
        <w:rPr>
          <w:b/>
          <w:bCs/>
        </w:rPr>
        <w:t>12.5. A PBT és vPvB értékelés:</w:t>
      </w:r>
      <w:r>
        <w:t xml:space="preserve"> a termék összetevői nem tekinthetők PBT, vPvB anyagnak. </w:t>
      </w:r>
    </w:p>
    <w:p w:rsidR="00B0676C" w:rsidRPr="001A71E5" w:rsidRDefault="00B0676C" w:rsidP="000F0E73">
      <w:pPr>
        <w:pStyle w:val="BodyTextIndent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B0676C" w:rsidRDefault="00B0676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B0676C" w:rsidRDefault="00B0676C" w:rsidP="00B70A1E">
      <w:pPr>
        <w:pStyle w:val="BodyTextIndent"/>
        <w:ind w:left="0"/>
        <w:rPr>
          <w:spacing w:val="-2"/>
        </w:rPr>
      </w:pPr>
      <w:r w:rsidRPr="001A71E5">
        <w:rPr>
          <w:b/>
          <w:bCs/>
          <w:spacing w:val="-2"/>
        </w:rPr>
        <w:t>13.1. Hulladékkezelési módszerek</w:t>
      </w:r>
      <w:r>
        <w:rPr>
          <w:b/>
          <w:bCs/>
          <w:spacing w:val="-2"/>
        </w:rPr>
        <w:t>:</w:t>
      </w:r>
      <w:r w:rsidRPr="001A71E5">
        <w:rPr>
          <w:spacing w:val="-2"/>
        </w:rPr>
        <w:t xml:space="preserve"> </w:t>
      </w:r>
      <w:r>
        <w:rPr>
          <w:spacing w:val="-2"/>
        </w:rPr>
        <w:t xml:space="preserve">a termék </w:t>
      </w:r>
      <w:r w:rsidRPr="001A71E5">
        <w:rPr>
          <w:spacing w:val="-2"/>
        </w:rPr>
        <w:t xml:space="preserve">maradékainak és hulladékainak kezelésére a 98/2001. (VI.15.) Kormányrendeletben foglaltak az irányadók. </w:t>
      </w:r>
    </w:p>
    <w:p w:rsidR="00B0676C" w:rsidRPr="00334D2A" w:rsidRDefault="00B0676C" w:rsidP="00B70A1E">
      <w:pPr>
        <w:pStyle w:val="BodyTextIndent"/>
        <w:ind w:left="0"/>
        <w:rPr>
          <w:spacing w:val="-2"/>
        </w:rPr>
      </w:pPr>
      <w:r>
        <w:rPr>
          <w:spacing w:val="-2"/>
        </w:rPr>
        <w:t>H</w:t>
      </w:r>
      <w:r w:rsidRPr="00334D2A">
        <w:rPr>
          <w:spacing w:val="-2"/>
        </w:rPr>
        <w:t>ulladék besorolása a 72/2013. (VIII.27.) VM rendelet alapján</w:t>
      </w:r>
      <w:r>
        <w:rPr>
          <w:spacing w:val="-2"/>
        </w:rPr>
        <w:t xml:space="preserve"> történjen, </w:t>
      </w:r>
      <w:r w:rsidRPr="00334D2A">
        <w:rPr>
          <w:spacing w:val="-2"/>
        </w:rPr>
        <w:t>a javasolt EWC-kód csak ajánlás, amit a hulladék keletkezési körülménye módosíthat.</w:t>
      </w:r>
    </w:p>
    <w:p w:rsidR="00B0676C" w:rsidRPr="001A71E5" w:rsidRDefault="00B0676C" w:rsidP="003A49C6">
      <w:pPr>
        <w:pStyle w:val="BodyTextIndent"/>
        <w:keepNext/>
        <w:spacing w:before="40"/>
        <w:ind w:left="0"/>
        <w:rPr>
          <w:b/>
          <w:bCs/>
        </w:rPr>
      </w:pPr>
      <w:r>
        <w:rPr>
          <w:b/>
          <w:bCs/>
        </w:rPr>
        <w:t>13.2. Hulladékkulcs/</w:t>
      </w:r>
      <w:r w:rsidRPr="001A71E5">
        <w:rPr>
          <w:b/>
          <w:bCs/>
        </w:rPr>
        <w:t>EWC</w:t>
      </w:r>
      <w:r>
        <w:rPr>
          <w:b/>
          <w:bCs/>
        </w:rPr>
        <w:t>-</w:t>
      </w:r>
      <w:r w:rsidRPr="001A71E5">
        <w:rPr>
          <w:b/>
          <w:bCs/>
        </w:rPr>
        <w:t xml:space="preserve">kód: </w:t>
      </w:r>
    </w:p>
    <w:p w:rsidR="00B0676C" w:rsidRPr="00530275" w:rsidRDefault="00B0676C" w:rsidP="00B70A1E">
      <w:pPr>
        <w:pStyle w:val="BodyTextIndent"/>
        <w:tabs>
          <w:tab w:val="left" w:pos="1134"/>
        </w:tabs>
        <w:spacing w:before="40"/>
        <w:ind w:left="0"/>
      </w:pPr>
      <w:r w:rsidRPr="00530275">
        <w:t>07 06</w:t>
      </w:r>
      <w:r w:rsidRPr="00530275">
        <w:tab/>
        <w:t>Zsírok, kenőanyagok, szappanok, mosószerek, fertőtlenítőszerek és kozmetikumok termeléséből, kiszereléséből, forgalmazásából és felhasználásából származó hulladékok</w:t>
      </w:r>
    </w:p>
    <w:p w:rsidR="00B0676C" w:rsidRPr="00AC33DA" w:rsidRDefault="00B0676C" w:rsidP="00B70A1E">
      <w:pPr>
        <w:pStyle w:val="BodyTextIndent"/>
        <w:keepNext/>
        <w:tabs>
          <w:tab w:val="left" w:pos="1134"/>
        </w:tabs>
        <w:spacing w:before="40"/>
        <w:ind w:left="0"/>
      </w:pPr>
      <w:r w:rsidRPr="00AC33DA">
        <w:t>07 06 01*</w:t>
      </w:r>
      <w:r w:rsidRPr="00AC33DA">
        <w:tab/>
        <w:t>Vizes mosófolyadék, anyalúg</w:t>
      </w:r>
      <w:r>
        <w:t xml:space="preserve"> – </w:t>
      </w:r>
      <w:r w:rsidRPr="00AC33DA">
        <w:t>veszélyes hulladék</w:t>
      </w:r>
    </w:p>
    <w:p w:rsidR="00B0676C" w:rsidRDefault="00B0676C" w:rsidP="00B70A1E">
      <w:pPr>
        <w:pStyle w:val="BodyTextIndent"/>
        <w:tabs>
          <w:tab w:val="left" w:pos="1276"/>
        </w:tabs>
        <w:ind w:left="0"/>
      </w:pPr>
      <w:r w:rsidRPr="00530275">
        <w:t>Nagyobb mennyiségek megsemmisítés</w:t>
      </w:r>
      <w:r>
        <w:t>ét</w:t>
      </w:r>
      <w:r w:rsidRPr="00530275">
        <w:t xml:space="preserve"> veszélyes hulladékok megsemmisítésére szakosodott megfelelő engedélyekkel rendelkező cég végezze. </w:t>
      </w:r>
      <w:r w:rsidRPr="00AF549D">
        <w:t>A csomagolási hulladékkal kapcsolatos hulladékgazdálkodási tevékenységet a 442/2012. (XII. 29.) Kormányrendelet szabályozza.</w:t>
      </w:r>
    </w:p>
    <w:p w:rsidR="00B0676C" w:rsidRDefault="00B0676C"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B0676C" w:rsidRPr="007E27A7" w:rsidRDefault="00B0676C" w:rsidP="007E27A7">
      <w:pPr>
        <w:pStyle w:val="BodyTextIndent"/>
        <w:spacing w:before="0"/>
        <w:ind w:left="0"/>
      </w:pPr>
      <w:r w:rsidRPr="007E27A7">
        <w:t xml:space="preserve">A termék a veszélyes áruk nemzetközi szállítását szabályozó egyezmények szerint (ADR/RID, IMDG, IATA/ICAO) </w:t>
      </w:r>
      <w:r w:rsidRPr="007E27A7">
        <w:rPr>
          <w:b/>
          <w:bCs/>
        </w:rPr>
        <w:t>veszélyes áru.</w:t>
      </w:r>
    </w:p>
    <w:p w:rsidR="00B0676C" w:rsidRPr="007E27A7" w:rsidRDefault="00B0676C" w:rsidP="007E27A7">
      <w:pPr>
        <w:pStyle w:val="BodyTextIndent"/>
        <w:ind w:left="0"/>
        <w:rPr>
          <w:b/>
          <w:bCs/>
        </w:rPr>
      </w:pPr>
      <w:r>
        <w:rPr>
          <w:b/>
          <w:bCs/>
        </w:rPr>
        <w:t xml:space="preserve">14.1. </w:t>
      </w:r>
      <w:r w:rsidRPr="007E27A7">
        <w:rPr>
          <w:b/>
          <w:bCs/>
        </w:rPr>
        <w:t xml:space="preserve">UN-szám: </w:t>
      </w:r>
      <w:r>
        <w:rPr>
          <w:b/>
          <w:bCs/>
        </w:rPr>
        <w:t>3082</w:t>
      </w:r>
    </w:p>
    <w:p w:rsidR="00B0676C" w:rsidRPr="007E27A7" w:rsidRDefault="00B0676C" w:rsidP="007E27A7">
      <w:pPr>
        <w:tabs>
          <w:tab w:val="left" w:pos="2694"/>
          <w:tab w:val="left" w:pos="3544"/>
        </w:tabs>
        <w:spacing w:before="60"/>
        <w:jc w:val="both"/>
        <w:rPr>
          <w:rFonts w:ascii="Tahoma" w:hAnsi="Tahoma" w:cs="Tahoma"/>
          <w:snapToGrid w:val="0"/>
        </w:rPr>
      </w:pPr>
      <w:r>
        <w:rPr>
          <w:rFonts w:ascii="Tahoma" w:hAnsi="Tahoma" w:cs="Tahoma"/>
          <w:b/>
          <w:bCs/>
        </w:rPr>
        <w:t xml:space="preserve">14.2. </w:t>
      </w:r>
      <w:r w:rsidRPr="007E27A7">
        <w:rPr>
          <w:rFonts w:ascii="Tahoma" w:hAnsi="Tahoma" w:cs="Tahoma"/>
          <w:b/>
          <w:bCs/>
        </w:rPr>
        <w:t>Az</w:t>
      </w:r>
      <w:r>
        <w:rPr>
          <w:rFonts w:ascii="Tahoma" w:hAnsi="Tahoma" w:cs="Tahoma"/>
          <w:b/>
          <w:bCs/>
        </w:rPr>
        <w:t xml:space="preserve"> ENSZ szerinti megfelelő szállítási </w:t>
      </w:r>
      <w:r w:rsidRPr="007E27A7">
        <w:rPr>
          <w:rFonts w:ascii="Tahoma" w:hAnsi="Tahoma" w:cs="Tahoma"/>
          <w:b/>
          <w:bCs/>
        </w:rPr>
        <w:t>megnevezés:</w:t>
      </w:r>
      <w:r w:rsidRPr="007E27A7">
        <w:rPr>
          <w:rFonts w:ascii="Tahoma" w:hAnsi="Tahoma" w:cs="Tahoma"/>
        </w:rPr>
        <w:t xml:space="preserve"> </w:t>
      </w:r>
      <w:r>
        <w:rPr>
          <w:rFonts w:ascii="Tahoma" w:hAnsi="Tahoma" w:cs="Tahoma"/>
        </w:rPr>
        <w:t>KÖRNYEZETRE VESZÉLYES, FOLYÉKONY ANYAG, M.N.N. (didecil-dimetil-ammónium-klorid oldat)</w:t>
      </w:r>
    </w:p>
    <w:p w:rsidR="00B0676C" w:rsidRPr="007E27A7" w:rsidRDefault="00B0676C" w:rsidP="007E27A7">
      <w:pPr>
        <w:pStyle w:val="BodyTextIndent"/>
        <w:ind w:left="0"/>
        <w:rPr>
          <w:b/>
          <w:bCs/>
        </w:rPr>
      </w:pPr>
      <w:r w:rsidRPr="007E27A7">
        <w:rPr>
          <w:b/>
          <w:bCs/>
        </w:rPr>
        <w:t>Szárazföldi szállítás - ADR/RID:</w:t>
      </w:r>
    </w:p>
    <w:p w:rsidR="00B0676C" w:rsidRPr="007E27A7" w:rsidRDefault="00B0676C" w:rsidP="007E27A7">
      <w:pPr>
        <w:pStyle w:val="BodyTextIndent"/>
        <w:ind w:left="0"/>
      </w:pPr>
      <w:r w:rsidRPr="007E27A7">
        <w:rPr>
          <w:b/>
          <w:bCs/>
        </w:rPr>
        <w:t xml:space="preserve">14.3. </w:t>
      </w:r>
      <w:r>
        <w:rPr>
          <w:b/>
          <w:bCs/>
        </w:rPr>
        <w:t>Szállítási veszélyességi o</w:t>
      </w:r>
      <w:r w:rsidRPr="007E27A7">
        <w:rPr>
          <w:b/>
          <w:bCs/>
        </w:rPr>
        <w:t>sztály:</w:t>
      </w:r>
      <w:r w:rsidRPr="007E27A7">
        <w:t xml:space="preserve"> </w:t>
      </w:r>
      <w:r>
        <w:t>9</w:t>
      </w:r>
      <w:r w:rsidRPr="007E27A7">
        <w:t xml:space="preserve">, Osztályozási kód: </w:t>
      </w:r>
      <w:r>
        <w:t>M6</w:t>
      </w:r>
    </w:p>
    <w:p w:rsidR="00B0676C" w:rsidRDefault="00B0676C" w:rsidP="007E27A7">
      <w:pPr>
        <w:pStyle w:val="BodyTextIndent"/>
        <w:ind w:left="0"/>
      </w:pPr>
      <w:r w:rsidRPr="007E27A7">
        <w:rPr>
          <w:b/>
          <w:bCs/>
        </w:rPr>
        <w:t>14.4. Csomagolási csoport:</w:t>
      </w:r>
      <w:r w:rsidRPr="007E27A7">
        <w:t xml:space="preserve"> III; Bárca: </w:t>
      </w:r>
      <w:r>
        <w:t>9</w:t>
      </w:r>
    </w:p>
    <w:p w:rsidR="00B0676C" w:rsidRDefault="00B0676C" w:rsidP="007E27A7">
      <w:pPr>
        <w:pStyle w:val="BodyTextIndent"/>
        <w:ind w:left="0"/>
      </w:pPr>
      <w:r w:rsidRPr="007E27A7">
        <w:rPr>
          <w:b/>
          <w:bCs/>
        </w:rPr>
        <w:t>14.5. Környezeti veszély:</w:t>
      </w:r>
      <w:r>
        <w:t xml:space="preserve"> igen</w:t>
      </w:r>
    </w:p>
    <w:p w:rsidR="00B0676C" w:rsidRDefault="00B0676C" w:rsidP="007E27A7">
      <w:pPr>
        <w:pStyle w:val="BodyTextIndent"/>
        <w:ind w:left="0"/>
        <w:rPr>
          <w:b/>
          <w:bCs/>
        </w:rPr>
      </w:pPr>
      <w:r w:rsidRPr="007E27A7">
        <w:rPr>
          <w:b/>
          <w:bCs/>
        </w:rPr>
        <w:t>14.6. A felhasználót érintő különleges óvintézkedések:</w:t>
      </w:r>
    </w:p>
    <w:p w:rsidR="00B0676C" w:rsidRDefault="00B0676C" w:rsidP="007E27A7">
      <w:pPr>
        <w:pStyle w:val="BodyTextIndent"/>
        <w:spacing w:before="0"/>
        <w:ind w:left="0"/>
      </w:pPr>
      <w:r w:rsidRPr="007E27A7">
        <w:t>Korlátozott és engedményes mennyiség: 5 liter és E1</w:t>
      </w:r>
    </w:p>
    <w:p w:rsidR="00B0676C" w:rsidRPr="007E27A7" w:rsidRDefault="00B0676C" w:rsidP="007E27A7">
      <w:pPr>
        <w:pStyle w:val="BodyTextIndent"/>
        <w:spacing w:before="0"/>
        <w:ind w:left="0"/>
      </w:pPr>
      <w:r>
        <w:t>Különleges előírás: 274, 335, 601, Csomagolási utasítás: P001, IBC03, LP01, R001</w:t>
      </w:r>
    </w:p>
    <w:p w:rsidR="00B0676C" w:rsidRDefault="00B0676C" w:rsidP="007E27A7">
      <w:pPr>
        <w:pStyle w:val="BodyTextIndent"/>
        <w:tabs>
          <w:tab w:val="left" w:pos="1134"/>
        </w:tabs>
        <w:spacing w:before="0"/>
        <w:ind w:left="0"/>
      </w:pPr>
      <w:r w:rsidRPr="007E27A7">
        <w:t xml:space="preserve">Veszélyt jelölő szám: </w:t>
      </w:r>
      <w:r>
        <w:t>9</w:t>
      </w:r>
      <w:r w:rsidRPr="007E27A7">
        <w:t>0, Szállítási kategória, alagút-korlátozási kód: 3(E)</w:t>
      </w:r>
    </w:p>
    <w:p w:rsidR="00B0676C" w:rsidRPr="007E27A7" w:rsidRDefault="00B0676C" w:rsidP="007E27A7">
      <w:pPr>
        <w:pStyle w:val="BodyTextIndent"/>
        <w:ind w:left="0"/>
        <w:rPr>
          <w:b/>
          <w:bCs/>
        </w:rPr>
      </w:pPr>
      <w:r w:rsidRPr="007E27A7">
        <w:rPr>
          <w:b/>
          <w:bCs/>
        </w:rPr>
        <w:t xml:space="preserve">14.7. MARPOL 73/78 II. melléklete és az IBC kódex szerinti szállítás: </w:t>
      </w:r>
      <w:r w:rsidRPr="007E27A7">
        <w:t xml:space="preserve">nem </w:t>
      </w:r>
      <w:r>
        <w:t>alkalmazható</w:t>
      </w:r>
    </w:p>
    <w:p w:rsidR="00B0676C" w:rsidRDefault="00B0676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B0676C" w:rsidRDefault="00B0676C" w:rsidP="008E689F">
      <w:pPr>
        <w:pStyle w:val="BodyTextIndent"/>
        <w:ind w:left="0"/>
        <w:rPr>
          <w:b/>
          <w:bCs/>
        </w:rPr>
      </w:pPr>
      <w:r>
        <w:rPr>
          <w:b/>
          <w:bCs/>
        </w:rPr>
        <w:t>15.1. A keverékkel kapcsolatos biztonsági, egészségügyi és környezetvédelmi előírások/jogszabályok</w:t>
      </w:r>
    </w:p>
    <w:p w:rsidR="00B0676C" w:rsidRDefault="00B0676C" w:rsidP="007E27A7">
      <w:pPr>
        <w:pStyle w:val="BodyTextIndent"/>
        <w:keepNext/>
        <w:widowControl w:val="0"/>
        <w:spacing w:before="80"/>
        <w:ind w:left="0"/>
        <w:rPr>
          <w:b/>
          <w:bCs/>
        </w:rPr>
      </w:pPr>
      <w:r>
        <w:rPr>
          <w:b/>
          <w:bCs/>
        </w:rPr>
        <w:t>Vonatkozó közösségi joganyagok</w:t>
      </w:r>
    </w:p>
    <w:p w:rsidR="00B0676C" w:rsidRPr="00CF3BEC" w:rsidRDefault="00B0676C" w:rsidP="008E689F">
      <w:pPr>
        <w:spacing w:before="20"/>
        <w:jc w:val="both"/>
        <w:rPr>
          <w:rFonts w:ascii="Tahoma" w:hAnsi="Tahoma" w:cs="Tahoma"/>
        </w:rPr>
      </w:pPr>
      <w:r w:rsidRPr="00513082">
        <w:rPr>
          <w:rFonts w:ascii="Tahoma" w:hAnsi="Tahoma" w:cs="Tahoma"/>
          <w:spacing w:val="-6"/>
        </w:rPr>
        <w:t xml:space="preserve">Biocid rendeletek: </w:t>
      </w:r>
      <w:r w:rsidRPr="00513082">
        <w:rPr>
          <w:rFonts w:ascii="Tahoma" w:hAnsi="Tahoma" w:cs="Tahoma"/>
        </w:rPr>
        <w:t>528/2012/EU és módosításai, valamint a 354/2013/EU, 414/2013/EU,</w:t>
      </w:r>
      <w:r w:rsidRPr="00CF3BEC">
        <w:rPr>
          <w:rFonts w:ascii="Tahoma" w:hAnsi="Tahoma" w:cs="Tahoma"/>
        </w:rPr>
        <w:t xml:space="preserve"> 564/2013/EU, 613/2013/EU, 736/2013, 837/2013/EU, 88/2014/EU és 334/2014/EU, 1062/2014/EU</w:t>
      </w:r>
    </w:p>
    <w:p w:rsidR="00B0676C" w:rsidRDefault="00B0676C" w:rsidP="008E689F">
      <w:pPr>
        <w:pStyle w:val="BodyTextIndent"/>
        <w:spacing w:before="20"/>
        <w:ind w:left="0"/>
      </w:pPr>
      <w:r w:rsidRPr="00A229DB">
        <w:t>REACH rendelet</w:t>
      </w:r>
      <w:r>
        <w:t xml:space="preserve">: </w:t>
      </w:r>
      <w:r w:rsidRPr="00A229DB">
        <w:t>1907/2006/EK és módosításai</w:t>
      </w:r>
      <w:r>
        <w:t xml:space="preserve">, </w:t>
      </w:r>
      <w:r w:rsidRPr="00A229DB">
        <w:t>CLP-rendelet: 1272/2008/EK és módosításai</w:t>
      </w:r>
      <w:r>
        <w:t xml:space="preserve">; </w:t>
      </w:r>
    </w:p>
    <w:p w:rsidR="00B0676C" w:rsidRDefault="00B0676C" w:rsidP="008E689F">
      <w:pPr>
        <w:pStyle w:val="BodyTextIndent"/>
        <w:keepNext/>
        <w:spacing w:before="20"/>
        <w:ind w:left="0"/>
      </w:pPr>
      <w:r>
        <w:t>98/24/EK irányelve a munkájuk során vegyi anyagokkal kapcsolatos kockázatoknak kitett munkavállalók egészségének, biztonságának védelméről; Foglalkozási expozíciós határértékek: 91/322/EK rendelet és módosítása; 2000/39/EK irányelv és módosításai</w:t>
      </w:r>
    </w:p>
    <w:p w:rsidR="00B0676C" w:rsidRPr="008D4C21" w:rsidRDefault="00B0676C" w:rsidP="007E27A7">
      <w:pPr>
        <w:pStyle w:val="BodyTextIndent"/>
        <w:keepNext/>
        <w:widowControl w:val="0"/>
        <w:spacing w:before="80"/>
        <w:ind w:left="0"/>
        <w:rPr>
          <w:b/>
          <w:bCs/>
        </w:rPr>
      </w:pPr>
      <w:r w:rsidRPr="008D4C21">
        <w:rPr>
          <w:b/>
          <w:bCs/>
        </w:rPr>
        <w:t>Vonatkozó nemzeti joganyagok</w:t>
      </w:r>
    </w:p>
    <w:p w:rsidR="00B0676C" w:rsidRPr="00946A7B" w:rsidRDefault="00B0676C" w:rsidP="008E689F">
      <w:pPr>
        <w:pStyle w:val="BodyTextIndent"/>
        <w:ind w:left="1701" w:hanging="1701"/>
      </w:pPr>
      <w:r>
        <w:t>Biocid:</w:t>
      </w:r>
      <w:r>
        <w:tab/>
      </w:r>
      <w:r w:rsidRPr="00946A7B">
        <w:t>38/2003. (VII.7.) ESzCsM-FVM-KvVM együttes rendelet a biocid termékek előállításának és forgalombahozatalának feltételeiről</w:t>
      </w:r>
      <w:r>
        <w:t xml:space="preserve">; </w:t>
      </w:r>
      <w:r w:rsidRPr="00946A7B">
        <w:t xml:space="preserve">316/2013. (VIII.28.) Korm. rendelet a biocid termékek engedélyezésének és forgalombahozatalának egyes szabályairól </w:t>
      </w:r>
    </w:p>
    <w:p w:rsidR="00B0676C" w:rsidRPr="00CA61B2" w:rsidRDefault="00B0676C" w:rsidP="007E27A7">
      <w:pPr>
        <w:pStyle w:val="BodyTextIndent"/>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B0676C" w:rsidRPr="008D4C21" w:rsidRDefault="00B0676C" w:rsidP="007E27A7">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B0676C" w:rsidRPr="008D4C21" w:rsidRDefault="00B0676C" w:rsidP="008E689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B0676C" w:rsidRPr="008D4C21" w:rsidRDefault="00B0676C" w:rsidP="007E27A7">
      <w:pPr>
        <w:pStyle w:val="BodyTextIndent"/>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B0676C" w:rsidRPr="008D4C21" w:rsidRDefault="00B0676C" w:rsidP="008E689F">
      <w:pPr>
        <w:pStyle w:val="BodyTextIndent"/>
        <w:spacing w:before="40"/>
        <w:ind w:left="1701" w:hanging="1701"/>
      </w:pPr>
      <w:r w:rsidRPr="008D4C21">
        <w:t>Tűzvédelem:</w:t>
      </w:r>
      <w:r w:rsidRPr="008D4C21">
        <w:tab/>
        <w:t>az 1996. évi XXXI. törvény a tűz elleni védekezésről, a műszaki mentésről és a tűzoltóságról; 28/2011. (IX.9.) BM rendelet</w:t>
      </w:r>
    </w:p>
    <w:p w:rsidR="00B0676C" w:rsidRPr="00CA61B2" w:rsidRDefault="00B0676C" w:rsidP="008E689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B0676C" w:rsidRDefault="00B0676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B0676C" w:rsidRDefault="00B0676C" w:rsidP="004E55EB">
      <w:pPr>
        <w:pStyle w:val="BodyTextIndent"/>
        <w:spacing w:before="0"/>
        <w:ind w:left="0"/>
      </w:pPr>
      <w:r w:rsidRPr="00EC0BAC">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B0676C" w:rsidRDefault="00B0676C" w:rsidP="004E55EB">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B0676C" w:rsidRDefault="00B0676C" w:rsidP="002E743C">
      <w:pPr>
        <w:pStyle w:val="BodyTextIndent"/>
        <w:ind w:left="0"/>
        <w:rPr>
          <w:b/>
          <w:bCs/>
        </w:rPr>
      </w:pPr>
      <w:r>
        <w:rPr>
          <w:b/>
          <w:bCs/>
        </w:rPr>
        <w:t xml:space="preserve">16.1. </w:t>
      </w:r>
      <w:r w:rsidRPr="003C3065">
        <w:rPr>
          <w:b/>
          <w:bCs/>
        </w:rPr>
        <w:t xml:space="preserve">A </w:t>
      </w:r>
      <w:r>
        <w:rPr>
          <w:b/>
          <w:bCs/>
        </w:rPr>
        <w:t xml:space="preserve">2. és </w:t>
      </w:r>
      <w:r w:rsidRPr="003C3065">
        <w:rPr>
          <w:b/>
          <w:bCs/>
        </w:rPr>
        <w:t xml:space="preserve">3. szakaszában szereplő </w:t>
      </w:r>
      <w:r>
        <w:rPr>
          <w:b/>
          <w:bCs/>
        </w:rPr>
        <w:t>rövidítések és H-</w:t>
      </w:r>
      <w:r w:rsidRPr="003C3065">
        <w:rPr>
          <w:b/>
          <w:bCs/>
        </w:rPr>
        <w:t>mondatok</w:t>
      </w:r>
      <w:r>
        <w:rPr>
          <w:b/>
          <w:bCs/>
        </w:rPr>
        <w:t xml:space="preserve"> szövege</w:t>
      </w:r>
      <w:r w:rsidRPr="003C3065">
        <w:rPr>
          <w:b/>
          <w:bCs/>
        </w:rPr>
        <w:t>:</w:t>
      </w:r>
    </w:p>
    <w:p w:rsidR="00B0676C" w:rsidRDefault="00B0676C" w:rsidP="007E27A7">
      <w:pPr>
        <w:pStyle w:val="BodyTextIndent"/>
        <w:spacing w:before="80"/>
        <w:ind w:left="0"/>
      </w:pPr>
      <w:r>
        <w:rPr>
          <w:b/>
          <w:bCs/>
        </w:rPr>
        <w:t>A CLP v</w:t>
      </w:r>
      <w:r w:rsidRPr="00DB3428">
        <w:rPr>
          <w:b/>
          <w:bCs/>
        </w:rPr>
        <w:t>eszélyességi osztályok rövidítései:</w:t>
      </w:r>
      <w:r w:rsidRPr="006305CA">
        <w:t xml:space="preserve"> </w:t>
      </w:r>
    </w:p>
    <w:p w:rsidR="00B0676C" w:rsidRDefault="00B0676C" w:rsidP="00AC33DA">
      <w:pPr>
        <w:pStyle w:val="BodyTextIndent"/>
        <w:spacing w:before="0"/>
        <w:ind w:left="0"/>
      </w:pPr>
      <w:r>
        <w:t>A</w:t>
      </w:r>
      <w:r w:rsidRPr="006305CA">
        <w:t xml:space="preserve"> rövidítések utáni számok</w:t>
      </w:r>
      <w:r>
        <w:t xml:space="preserve"> (1 – 4)</w:t>
      </w:r>
      <w:r w:rsidRPr="006305CA">
        <w:t xml:space="preserve"> az osztályon belüli kategóriát jelölik meg, a nagyobb számok kisebb veszélyt jelentenek: </w:t>
      </w:r>
      <w:r>
        <w:t xml:space="preserve">Acute Tox.: akut toxicitás, oral: szájon át, Skin Corr.: bőrmarás, </w:t>
      </w:r>
      <w:r w:rsidRPr="006305CA">
        <w:t>Flam. Liq.: Tűzveszélyes folyadékok, Eye Irrit.: szemirritáció, STOT SE: célszervi toxicitás – egyszeri expozíció</w:t>
      </w:r>
      <w:r>
        <w:t>, STOT RE: célszervi toxicitás, többszöri expozíció, Aquatic Acute: vízi környezetre veszélyes, akut veszélyt jelent</w:t>
      </w:r>
      <w:r w:rsidRPr="006305CA">
        <w:t xml:space="preserve"> </w:t>
      </w:r>
    </w:p>
    <w:p w:rsidR="00B0676C" w:rsidRPr="007E27A7" w:rsidRDefault="00B0676C" w:rsidP="007E27A7">
      <w:pPr>
        <w:tabs>
          <w:tab w:val="left" w:pos="1134"/>
          <w:tab w:val="left" w:pos="1418"/>
        </w:tabs>
        <w:autoSpaceDE w:val="0"/>
        <w:autoSpaceDN w:val="0"/>
        <w:adjustRightInd w:val="0"/>
        <w:spacing w:before="120"/>
        <w:ind w:firstLine="284"/>
        <w:rPr>
          <w:rFonts w:ascii="Tahoma" w:hAnsi="Tahoma" w:cs="Tahoma"/>
        </w:rPr>
      </w:pPr>
      <w:r w:rsidRPr="007E27A7">
        <w:rPr>
          <w:rFonts w:ascii="Tahoma" w:hAnsi="Tahoma" w:cs="Tahoma"/>
        </w:rPr>
        <w:t>H225</w:t>
      </w:r>
      <w:r w:rsidRPr="007E27A7">
        <w:rPr>
          <w:rFonts w:ascii="Tahoma" w:hAnsi="Tahoma" w:cs="Tahoma"/>
        </w:rPr>
        <w:tab/>
        <w:t>Fokozottan tűzveszélyes folyadék és gőz.</w:t>
      </w:r>
    </w:p>
    <w:p w:rsidR="00B0676C" w:rsidRDefault="00B0676C" w:rsidP="007E27A7">
      <w:pPr>
        <w:tabs>
          <w:tab w:val="left" w:pos="1134"/>
          <w:tab w:val="left" w:pos="1418"/>
        </w:tabs>
        <w:autoSpaceDE w:val="0"/>
        <w:autoSpaceDN w:val="0"/>
        <w:adjustRightInd w:val="0"/>
        <w:ind w:firstLine="284"/>
        <w:rPr>
          <w:rFonts w:ascii="Tahoma" w:hAnsi="Tahoma" w:cs="Tahoma"/>
        </w:rPr>
      </w:pPr>
      <w:r w:rsidRPr="007E27A7">
        <w:rPr>
          <w:rFonts w:ascii="Tahoma" w:hAnsi="Tahoma" w:cs="Tahoma"/>
        </w:rPr>
        <w:t>H301</w:t>
      </w:r>
      <w:r w:rsidRPr="007E27A7">
        <w:rPr>
          <w:rFonts w:ascii="Tahoma" w:hAnsi="Tahoma" w:cs="Tahoma"/>
        </w:rPr>
        <w:tab/>
        <w:t>Lenyelve mérgező.</w:t>
      </w:r>
    </w:p>
    <w:p w:rsidR="00B0676C" w:rsidRPr="007E27A7" w:rsidRDefault="00B0676C" w:rsidP="007E27A7">
      <w:pPr>
        <w:tabs>
          <w:tab w:val="left" w:pos="1134"/>
          <w:tab w:val="left" w:pos="1418"/>
        </w:tabs>
        <w:autoSpaceDE w:val="0"/>
        <w:autoSpaceDN w:val="0"/>
        <w:adjustRightInd w:val="0"/>
        <w:ind w:firstLine="284"/>
        <w:rPr>
          <w:rFonts w:ascii="Tahoma" w:hAnsi="Tahoma" w:cs="Tahoma"/>
        </w:rPr>
      </w:pPr>
      <w:r>
        <w:rPr>
          <w:rFonts w:ascii="Tahoma" w:hAnsi="Tahoma" w:cs="Tahoma"/>
        </w:rPr>
        <w:t>H302</w:t>
      </w:r>
      <w:r>
        <w:rPr>
          <w:rFonts w:ascii="Tahoma" w:hAnsi="Tahoma" w:cs="Tahoma"/>
        </w:rPr>
        <w:tab/>
        <w:t>Lenyelve ártalmas.</w:t>
      </w:r>
    </w:p>
    <w:p w:rsidR="00B0676C" w:rsidRPr="00A66FE1" w:rsidRDefault="00B0676C" w:rsidP="007E27A7">
      <w:pPr>
        <w:tabs>
          <w:tab w:val="left" w:pos="1134"/>
          <w:tab w:val="left" w:pos="1418"/>
        </w:tabs>
        <w:autoSpaceDE w:val="0"/>
        <w:autoSpaceDN w:val="0"/>
        <w:adjustRightInd w:val="0"/>
        <w:ind w:firstLine="284"/>
        <w:rPr>
          <w:rFonts w:ascii="Tahoma" w:hAnsi="Tahoma" w:cs="Tahoma"/>
        </w:rPr>
      </w:pPr>
      <w:r w:rsidRPr="00A66FE1">
        <w:rPr>
          <w:rFonts w:ascii="Tahoma" w:hAnsi="Tahoma" w:cs="Tahoma"/>
        </w:rPr>
        <w:t>H314</w:t>
      </w:r>
      <w:r w:rsidRPr="00A66FE1">
        <w:rPr>
          <w:rFonts w:ascii="Tahoma" w:hAnsi="Tahoma" w:cs="Tahoma"/>
        </w:rPr>
        <w:tab/>
        <w:t>Súlyos égés</w:t>
      </w:r>
      <w:r>
        <w:rPr>
          <w:rFonts w:ascii="Tahoma" w:hAnsi="Tahoma" w:cs="Tahoma"/>
        </w:rPr>
        <w:t>i</w:t>
      </w:r>
      <w:r w:rsidRPr="00A66FE1">
        <w:rPr>
          <w:rFonts w:ascii="Tahoma" w:hAnsi="Tahoma" w:cs="Tahoma"/>
        </w:rPr>
        <w:t xml:space="preserve"> sérülést és szemkárosodást okoz</w:t>
      </w:r>
      <w:r>
        <w:rPr>
          <w:rFonts w:ascii="Tahoma" w:hAnsi="Tahoma" w:cs="Tahoma"/>
        </w:rPr>
        <w:t>.</w:t>
      </w:r>
    </w:p>
    <w:p w:rsidR="00B0676C" w:rsidRDefault="00B0676C" w:rsidP="007E27A7">
      <w:pPr>
        <w:tabs>
          <w:tab w:val="left" w:pos="1134"/>
          <w:tab w:val="left" w:pos="1418"/>
        </w:tabs>
        <w:autoSpaceDE w:val="0"/>
        <w:autoSpaceDN w:val="0"/>
        <w:adjustRightInd w:val="0"/>
        <w:ind w:firstLine="284"/>
        <w:rPr>
          <w:rFonts w:ascii="Tahoma" w:hAnsi="Tahoma" w:cs="Tahoma"/>
        </w:rPr>
      </w:pPr>
      <w:r w:rsidRPr="00A66FE1">
        <w:rPr>
          <w:rFonts w:ascii="Tahoma" w:hAnsi="Tahoma" w:cs="Tahoma"/>
        </w:rPr>
        <w:t>H315</w:t>
      </w:r>
      <w:r w:rsidRPr="00A66FE1">
        <w:rPr>
          <w:rFonts w:ascii="Tahoma" w:hAnsi="Tahoma" w:cs="Tahoma"/>
        </w:rPr>
        <w:tab/>
        <w:t>Bőrirritáló hatású</w:t>
      </w:r>
      <w:r>
        <w:rPr>
          <w:rFonts w:ascii="Tahoma" w:hAnsi="Tahoma" w:cs="Tahoma"/>
        </w:rPr>
        <w:t>.</w:t>
      </w:r>
    </w:p>
    <w:p w:rsidR="00B0676C" w:rsidRPr="00A66FE1" w:rsidRDefault="00B0676C" w:rsidP="007E27A7">
      <w:pPr>
        <w:tabs>
          <w:tab w:val="left" w:pos="1134"/>
          <w:tab w:val="left" w:pos="1418"/>
        </w:tabs>
        <w:autoSpaceDE w:val="0"/>
        <w:autoSpaceDN w:val="0"/>
        <w:adjustRightInd w:val="0"/>
        <w:ind w:firstLine="284"/>
        <w:rPr>
          <w:rFonts w:ascii="Tahoma" w:hAnsi="Tahoma" w:cs="Tahoma"/>
        </w:rPr>
      </w:pPr>
      <w:r>
        <w:rPr>
          <w:rFonts w:ascii="Tahoma" w:hAnsi="Tahoma" w:cs="Tahoma"/>
        </w:rPr>
        <w:t>H318</w:t>
      </w:r>
      <w:r>
        <w:rPr>
          <w:rFonts w:ascii="Tahoma" w:hAnsi="Tahoma" w:cs="Tahoma"/>
        </w:rPr>
        <w:tab/>
        <w:t>Súlyos szemkárosodást okoz.</w:t>
      </w:r>
    </w:p>
    <w:p w:rsidR="00B0676C" w:rsidRDefault="00B0676C" w:rsidP="007E27A7">
      <w:pPr>
        <w:tabs>
          <w:tab w:val="left" w:pos="1134"/>
          <w:tab w:val="left" w:pos="1418"/>
        </w:tabs>
        <w:autoSpaceDE w:val="0"/>
        <w:autoSpaceDN w:val="0"/>
        <w:adjustRightInd w:val="0"/>
        <w:ind w:firstLine="284"/>
        <w:rPr>
          <w:rFonts w:ascii="Tahoma" w:hAnsi="Tahoma" w:cs="Tahoma"/>
        </w:rPr>
      </w:pPr>
      <w:r w:rsidRPr="00A66FE1">
        <w:rPr>
          <w:rFonts w:ascii="Tahoma" w:hAnsi="Tahoma" w:cs="Tahoma"/>
        </w:rPr>
        <w:t>H319</w:t>
      </w:r>
      <w:r w:rsidRPr="00A66FE1">
        <w:rPr>
          <w:rFonts w:ascii="Tahoma" w:hAnsi="Tahoma" w:cs="Tahoma"/>
        </w:rPr>
        <w:tab/>
        <w:t>Súlyos szemirritációt okoz</w:t>
      </w:r>
      <w:r>
        <w:rPr>
          <w:rFonts w:ascii="Tahoma" w:hAnsi="Tahoma" w:cs="Tahoma"/>
        </w:rPr>
        <w:t>.</w:t>
      </w:r>
    </w:p>
    <w:p w:rsidR="00B0676C" w:rsidRDefault="00B0676C" w:rsidP="007E27A7">
      <w:pPr>
        <w:tabs>
          <w:tab w:val="left" w:pos="1134"/>
          <w:tab w:val="left" w:pos="1418"/>
        </w:tabs>
        <w:autoSpaceDE w:val="0"/>
        <w:autoSpaceDN w:val="0"/>
        <w:adjustRightInd w:val="0"/>
        <w:ind w:firstLine="284"/>
        <w:rPr>
          <w:rFonts w:ascii="Tahoma" w:hAnsi="Tahoma" w:cs="Tahoma"/>
        </w:rPr>
      </w:pPr>
      <w:r w:rsidRPr="00C22142">
        <w:rPr>
          <w:rFonts w:ascii="Tahoma" w:hAnsi="Tahoma" w:cs="Tahoma"/>
        </w:rPr>
        <w:t>H336</w:t>
      </w:r>
      <w:r>
        <w:rPr>
          <w:rFonts w:ascii="Tahoma" w:hAnsi="Tahoma" w:cs="Tahoma"/>
        </w:rPr>
        <w:tab/>
      </w:r>
      <w:r w:rsidRPr="00C22142">
        <w:rPr>
          <w:rFonts w:ascii="Tahoma" w:hAnsi="Tahoma" w:cs="Tahoma"/>
        </w:rPr>
        <w:t>Álmosságot vagy szédülést okozhat.</w:t>
      </w:r>
    </w:p>
    <w:p w:rsidR="00B0676C" w:rsidRPr="007E27A7" w:rsidRDefault="00B0676C" w:rsidP="007E27A7">
      <w:pPr>
        <w:tabs>
          <w:tab w:val="left" w:pos="1134"/>
          <w:tab w:val="left" w:pos="1418"/>
        </w:tabs>
        <w:autoSpaceDE w:val="0"/>
        <w:autoSpaceDN w:val="0"/>
        <w:adjustRightInd w:val="0"/>
        <w:ind w:firstLine="284"/>
        <w:rPr>
          <w:rFonts w:ascii="Tahoma" w:hAnsi="Tahoma" w:cs="Tahoma"/>
        </w:rPr>
      </w:pPr>
      <w:r w:rsidRPr="007E27A7">
        <w:rPr>
          <w:rFonts w:ascii="Tahoma" w:hAnsi="Tahoma" w:cs="Tahoma"/>
        </w:rPr>
        <w:t>H373</w:t>
      </w:r>
      <w:r w:rsidRPr="007E27A7">
        <w:rPr>
          <w:rFonts w:ascii="Tahoma" w:hAnsi="Tahoma" w:cs="Tahoma"/>
        </w:rPr>
        <w:tab/>
        <w:t xml:space="preserve">Ismétlődő vagy hosszabb expozíció esetén károsíthatja a szerveket. </w:t>
      </w:r>
    </w:p>
    <w:p w:rsidR="00B0676C" w:rsidRDefault="00B0676C" w:rsidP="007E27A7">
      <w:pPr>
        <w:tabs>
          <w:tab w:val="left" w:pos="284"/>
          <w:tab w:val="left" w:pos="1134"/>
          <w:tab w:val="left" w:pos="1418"/>
        </w:tabs>
        <w:autoSpaceDE w:val="0"/>
        <w:autoSpaceDN w:val="0"/>
        <w:adjustRightInd w:val="0"/>
        <w:ind w:left="284"/>
        <w:jc w:val="both"/>
        <w:rPr>
          <w:rFonts w:ascii="Tahoma" w:hAnsi="Tahoma" w:cs="Tahoma"/>
        </w:rPr>
      </w:pPr>
      <w:r w:rsidRPr="00A66FE1">
        <w:rPr>
          <w:rFonts w:ascii="Tahoma" w:hAnsi="Tahoma" w:cs="Tahoma"/>
        </w:rPr>
        <w:t xml:space="preserve">H400 </w:t>
      </w:r>
      <w:r w:rsidRPr="00A66FE1">
        <w:rPr>
          <w:rFonts w:ascii="Tahoma" w:hAnsi="Tahoma" w:cs="Tahoma"/>
        </w:rPr>
        <w:tab/>
        <w:t>Nagyon mérgező a vízi élővilágra.</w:t>
      </w:r>
    </w:p>
    <w:p w:rsidR="00B0676C" w:rsidRPr="006553AB" w:rsidRDefault="00B0676C" w:rsidP="008E689F">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 a biztonsági adatlap a gyártó adatai és az összetevők biztonsági adatlapja alapján készült</w:t>
      </w:r>
      <w:r w:rsidRPr="007C3FA9">
        <w:rPr>
          <w:rFonts w:ascii="Tahoma" w:hAnsi="Tahoma" w:cs="Tahoma"/>
          <w:snapToGrid w:val="0"/>
        </w:rPr>
        <w:t xml:space="preserve"> 201</w:t>
      </w:r>
      <w:r>
        <w:rPr>
          <w:rFonts w:ascii="Tahoma" w:hAnsi="Tahoma" w:cs="Tahoma"/>
          <w:snapToGrid w:val="0"/>
        </w:rPr>
        <w:t>5. április 7-én, melyet felülvizsgáltak 2019. május 27-én.</w:t>
      </w:r>
    </w:p>
    <w:sectPr w:rsidR="00B0676C" w:rsidRPr="006553AB" w:rsidSect="008056B9">
      <w:headerReference w:type="default" r:id="rId10"/>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76C" w:rsidRDefault="00B0676C">
      <w:r>
        <w:separator/>
      </w:r>
    </w:p>
  </w:endnote>
  <w:endnote w:type="continuationSeparator" w:id="0">
    <w:p w:rsidR="00B0676C" w:rsidRDefault="00B067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76C" w:rsidRDefault="00B0676C">
      <w:r>
        <w:separator/>
      </w:r>
    </w:p>
  </w:footnote>
  <w:footnote w:type="continuationSeparator" w:id="0">
    <w:p w:rsidR="00B0676C" w:rsidRDefault="00B0676C">
      <w:r>
        <w:continuationSeparator/>
      </w:r>
    </w:p>
  </w:footnote>
  <w:footnote w:id="1">
    <w:p w:rsidR="00B0676C" w:rsidRDefault="00B0676C" w:rsidP="00696C6B">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2">
    <w:p w:rsidR="00B0676C" w:rsidRDefault="00B0676C" w:rsidP="00B44C12">
      <w:pPr>
        <w:pStyle w:val="BodyTextIndent"/>
        <w:tabs>
          <w:tab w:val="left" w:pos="567"/>
        </w:tabs>
        <w:spacing w:before="0"/>
        <w:ind w:left="567" w:hanging="567"/>
      </w:pPr>
      <w:r w:rsidRPr="00C124FE">
        <w:rPr>
          <w:rStyle w:val="FootnoteReference"/>
          <w:sz w:val="16"/>
          <w:szCs w:val="16"/>
        </w:rPr>
        <w:footnoteRef/>
      </w:r>
      <w:r w:rsidRPr="00C124FE">
        <w:rPr>
          <w:sz w:val="16"/>
          <w:szCs w:val="16"/>
        </w:rPr>
        <w:t xml:space="preserve"> ÁK:</w:t>
      </w:r>
      <w:r w:rsidRPr="00C124FE">
        <w:rPr>
          <w:sz w:val="16"/>
          <w:szCs w:val="16"/>
        </w:rPr>
        <w:tab/>
        <w:t>Megengedett átlagos koncentráció, az anyagnak a munkahely levegőjében egy műszakra megengedett átlagkoncentrációja, amely a dolgozó egészségére nem fejt ki káros hatást.</w:t>
      </w:r>
    </w:p>
  </w:footnote>
  <w:footnote w:id="3">
    <w:p w:rsidR="00B0676C" w:rsidRDefault="00B0676C" w:rsidP="00B44C12">
      <w:pPr>
        <w:pStyle w:val="BodyTextIndent"/>
        <w:tabs>
          <w:tab w:val="left" w:pos="567"/>
        </w:tabs>
        <w:spacing w:before="0"/>
        <w:ind w:left="0"/>
      </w:pPr>
      <w:r w:rsidRPr="00C124FE">
        <w:rPr>
          <w:rStyle w:val="FootnoteReference"/>
          <w:sz w:val="16"/>
          <w:szCs w:val="16"/>
        </w:rPr>
        <w:footnoteRef/>
      </w:r>
      <w:r w:rsidRPr="00C124FE">
        <w:rPr>
          <w:sz w:val="16"/>
          <w:szCs w:val="16"/>
        </w:rPr>
        <w:t xml:space="preserve"> </w:t>
      </w:r>
      <w:r w:rsidRPr="00C124FE">
        <w:rPr>
          <w:spacing w:val="-6"/>
          <w:sz w:val="16"/>
          <w:szCs w:val="16"/>
        </w:rPr>
        <w:t>CK:</w:t>
      </w:r>
      <w:r w:rsidRPr="00C124FE">
        <w:rPr>
          <w:spacing w:val="-6"/>
          <w:sz w:val="16"/>
          <w:szCs w:val="16"/>
        </w:rPr>
        <w:tab/>
        <w:t>Megengedett csúcskoncentráció, rövid ideig megengedhető legnagyobb levegőszennyezettség egy műszakon belül.</w:t>
      </w:r>
    </w:p>
  </w:footnote>
  <w:footnote w:id="4">
    <w:p w:rsidR="00B0676C" w:rsidRDefault="00B0676C" w:rsidP="00B44C12">
      <w:pPr>
        <w:pStyle w:val="Default"/>
        <w:tabs>
          <w:tab w:val="left" w:pos="567"/>
          <w:tab w:val="left" w:pos="851"/>
          <w:tab w:val="left" w:pos="2835"/>
        </w:tabs>
        <w:autoSpaceDE/>
        <w:autoSpaceDN/>
        <w:adjustRightInd/>
      </w:pPr>
      <w:r w:rsidRPr="00C124FE">
        <w:rPr>
          <w:rStyle w:val="FootnoteReference"/>
          <w:rFonts w:ascii="Tahoma" w:hAnsi="Tahoma" w:cs="Tahoma"/>
          <w:sz w:val="16"/>
          <w:szCs w:val="16"/>
        </w:rPr>
        <w:footnoteRef/>
      </w:r>
      <w:r w:rsidRPr="00C124FE">
        <w:rPr>
          <w:rFonts w:ascii="Tahoma" w:hAnsi="Tahoma" w:cs="Tahoma"/>
          <w:sz w:val="16"/>
          <w:szCs w:val="16"/>
        </w:rPr>
        <w:t xml:space="preserve"> DNEL - DERIVED NO EFFECT LEVEL </w:t>
      </w:r>
      <w:r>
        <w:rPr>
          <w:rFonts w:ascii="Tahoma" w:hAnsi="Tahoma" w:cs="Tahoma"/>
          <w:sz w:val="16"/>
          <w:szCs w:val="16"/>
        </w:rPr>
        <w:t xml:space="preserve">- </w:t>
      </w:r>
      <w:r w:rsidRPr="00C124FE">
        <w:rPr>
          <w:rFonts w:ascii="Tahoma" w:hAnsi="Tahoma" w:cs="Tahoma"/>
          <w:sz w:val="16"/>
          <w:szCs w:val="16"/>
        </w:rPr>
        <w:t>a származtatott hatásmentes humán-expozíció szintje</w:t>
      </w:r>
    </w:p>
  </w:footnote>
  <w:footnote w:id="5">
    <w:p w:rsidR="00B0676C" w:rsidRDefault="00B0676C" w:rsidP="00B44C12">
      <w:pPr>
        <w:pStyle w:val="Default"/>
        <w:tabs>
          <w:tab w:val="left" w:pos="567"/>
          <w:tab w:val="left" w:pos="851"/>
          <w:tab w:val="left" w:pos="2835"/>
        </w:tabs>
        <w:autoSpaceDE/>
        <w:autoSpaceDN/>
        <w:adjustRightInd/>
        <w:ind w:left="4536" w:hanging="4536"/>
      </w:pPr>
      <w:r w:rsidRPr="00C124FE">
        <w:rPr>
          <w:rStyle w:val="FootnoteReference"/>
          <w:rFonts w:ascii="Tahoma" w:hAnsi="Tahoma" w:cs="Tahoma"/>
          <w:sz w:val="16"/>
          <w:szCs w:val="16"/>
        </w:rPr>
        <w:footnoteRef/>
      </w:r>
      <w:r w:rsidRPr="00C124FE">
        <w:rPr>
          <w:rFonts w:ascii="Tahoma" w:hAnsi="Tahoma" w:cs="Tahoma"/>
          <w:sz w:val="16"/>
          <w:szCs w:val="16"/>
        </w:rPr>
        <w:t xml:space="preserve"> PNEC - PREDICTED NO EFFECT CONCENTRATION </w:t>
      </w:r>
      <w:r>
        <w:rPr>
          <w:rFonts w:ascii="Tahoma" w:hAnsi="Tahoma" w:cs="Tahoma"/>
          <w:sz w:val="16"/>
          <w:szCs w:val="16"/>
        </w:rPr>
        <w:t xml:space="preserve">- </w:t>
      </w:r>
      <w:r w:rsidRPr="00C124FE">
        <w:rPr>
          <w:rFonts w:ascii="Tahoma" w:hAnsi="Tahoma" w:cs="Tahoma"/>
          <w:sz w:val="16"/>
          <w:szCs w:val="16"/>
        </w:rPr>
        <w:t>az adott ökoszisztémára károsan még nem ható, becsült küszöbkoncentráció</w:t>
      </w:r>
    </w:p>
  </w:footnote>
  <w:footnote w:id="6">
    <w:p w:rsidR="00B0676C" w:rsidRDefault="00B0676C">
      <w:pPr>
        <w:pStyle w:val="FootnoteText"/>
      </w:pPr>
      <w:r w:rsidRPr="008E689F">
        <w:rPr>
          <w:rStyle w:val="FootnoteReference"/>
          <w:rFonts w:ascii="Tahoma" w:hAnsi="Tahoma" w:cs="Tahoma"/>
          <w:sz w:val="18"/>
          <w:szCs w:val="18"/>
        </w:rPr>
        <w:footnoteRef/>
      </w:r>
      <w:r w:rsidRPr="008E689F">
        <w:rPr>
          <w:rFonts w:ascii="Tahoma" w:hAnsi="Tahoma" w:cs="Tahoma"/>
          <w:sz w:val="18"/>
          <w:szCs w:val="18"/>
        </w:rPr>
        <w:t xml:space="preserve"> 10%-nál kevesebb izoprop</w:t>
      </w:r>
      <w:r>
        <w:rPr>
          <w:rFonts w:ascii="Tahoma" w:hAnsi="Tahoma" w:cs="Tahoma"/>
          <w:sz w:val="18"/>
          <w:szCs w:val="18"/>
        </w:rPr>
        <w:t>anolt</w:t>
      </w:r>
      <w:r w:rsidRPr="008E689F">
        <w:rPr>
          <w:rFonts w:ascii="Tahoma" w:hAnsi="Tahoma" w:cs="Tahoma"/>
          <w:sz w:val="18"/>
          <w:szCs w:val="18"/>
        </w:rPr>
        <w:t xml:space="preserve"> tartalmazó vizes oldatok lobbanáspontja &gt; 41%; </w:t>
      </w:r>
      <w:hyperlink r:id="rId1" w:history="1">
        <w:r w:rsidRPr="00CC66C5">
          <w:rPr>
            <w:rStyle w:val="Hyperlink"/>
            <w:rFonts w:ascii="Tahoma" w:hAnsi="Tahoma" w:cs="Tahoma"/>
            <w:sz w:val="18"/>
            <w:szCs w:val="18"/>
          </w:rPr>
          <w:t>http://www.engineeringtoolbox.com/ispropanol-water-d_988.html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76C" w:rsidRDefault="00B0676C"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HOSPI Sept Kézfertőtlenítő szappan</w:t>
    </w:r>
    <w:r>
      <w:rPr>
        <w:rFonts w:ascii="Tahoma" w:hAnsi="Tahoma" w:cs="Tahoma"/>
        <w:noProof/>
        <w:sz w:val="14"/>
        <w:szCs w:val="14"/>
      </w:rPr>
      <w:tab/>
    </w:r>
  </w:p>
  <w:p w:rsidR="00B0676C" w:rsidRDefault="00B0676C"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3.0 – HU</w:t>
    </w:r>
  </w:p>
  <w:p w:rsidR="00B0676C" w:rsidRDefault="00B0676C"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Kiadva 2015. április 7.</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r>
      <w:rPr>
        <w:rStyle w:val="PageNumber"/>
        <w:rFonts w:ascii="Tahoma" w:hAnsi="Tahoma" w:cs="Tahoma"/>
        <w:sz w:val="14"/>
        <w:szCs w:val="14"/>
      </w:rPr>
      <w:tab/>
    </w:r>
  </w:p>
  <w:p w:rsidR="00B0676C" w:rsidRDefault="00B0676C" w:rsidP="00B96918">
    <w:pPr>
      <w:pStyle w:val="Header"/>
      <w:tabs>
        <w:tab w:val="clear" w:pos="9072"/>
        <w:tab w:val="left" w:pos="7230"/>
        <w:tab w:val="left" w:pos="8082"/>
      </w:tabs>
      <w:rPr>
        <w:rStyle w:val="PageNumber"/>
        <w:rFonts w:ascii="Tahoma" w:hAnsi="Tahoma" w:cs="Tahoma"/>
        <w:sz w:val="14"/>
        <w:szCs w:val="14"/>
      </w:rPr>
    </w:pPr>
    <w:r>
      <w:rPr>
        <w:rStyle w:val="PageNumber"/>
        <w:rFonts w:ascii="Tahoma" w:hAnsi="Tahoma" w:cs="Tahoma"/>
        <w:sz w:val="14"/>
        <w:szCs w:val="14"/>
      </w:rPr>
      <w:t>Felülvizsgálva: 2019. május 27.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7">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8">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9">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0">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1">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2">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3">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4">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5">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7">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18">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19">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0">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1">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4"/>
  </w:num>
  <w:num w:numId="22">
    <w:abstractNumId w:val="9"/>
  </w:num>
  <w:num w:numId="23">
    <w:abstractNumId w:val="6"/>
  </w:num>
  <w:num w:numId="24">
    <w:abstractNumId w:val="19"/>
  </w:num>
  <w:num w:numId="25">
    <w:abstractNumId w:val="17"/>
  </w:num>
  <w:num w:numId="26">
    <w:abstractNumId w:val="20"/>
  </w:num>
  <w:num w:numId="27">
    <w:abstractNumId w:val="15"/>
  </w:num>
  <w:num w:numId="28">
    <w:abstractNumId w:val="3"/>
  </w:num>
  <w:num w:numId="29">
    <w:abstractNumId w:val="10"/>
  </w:num>
  <w:num w:numId="30">
    <w:abstractNumId w:val="5"/>
  </w:num>
  <w:num w:numId="31">
    <w:abstractNumId w:val="2"/>
  </w:num>
  <w:num w:numId="32">
    <w:abstractNumId w:val="13"/>
  </w:num>
  <w:num w:numId="33">
    <w:abstractNumId w:val="7"/>
  </w:num>
  <w:num w:numId="34">
    <w:abstractNumId w:val="12"/>
  </w:num>
  <w:num w:numId="35">
    <w:abstractNumId w:val="4"/>
  </w:num>
  <w:num w:numId="36">
    <w:abstractNumId w:val="18"/>
  </w:num>
  <w:num w:numId="37">
    <w:abstractNumId w:val="8"/>
  </w:num>
  <w:num w:numId="38">
    <w:abstractNumId w:val="21"/>
  </w:num>
  <w:num w:numId="39">
    <w:abstractNumId w:val="11"/>
  </w:num>
  <w:num w:numId="40">
    <w:abstractNumId w:val="1"/>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2079C"/>
    <w:rsid w:val="000267AD"/>
    <w:rsid w:val="00037104"/>
    <w:rsid w:val="00040A53"/>
    <w:rsid w:val="00052853"/>
    <w:rsid w:val="00054727"/>
    <w:rsid w:val="00054FA8"/>
    <w:rsid w:val="000568BF"/>
    <w:rsid w:val="00060AEA"/>
    <w:rsid w:val="00062B16"/>
    <w:rsid w:val="00077F0C"/>
    <w:rsid w:val="00080769"/>
    <w:rsid w:val="00084965"/>
    <w:rsid w:val="0008511E"/>
    <w:rsid w:val="00087B12"/>
    <w:rsid w:val="0009053E"/>
    <w:rsid w:val="00090B0D"/>
    <w:rsid w:val="00097A4E"/>
    <w:rsid w:val="000A03A4"/>
    <w:rsid w:val="000A17CF"/>
    <w:rsid w:val="000A1905"/>
    <w:rsid w:val="000A36D7"/>
    <w:rsid w:val="000B0247"/>
    <w:rsid w:val="000B03BD"/>
    <w:rsid w:val="000B35E5"/>
    <w:rsid w:val="000C1EB0"/>
    <w:rsid w:val="000C570C"/>
    <w:rsid w:val="000D0B10"/>
    <w:rsid w:val="000E1DD2"/>
    <w:rsid w:val="000E4A43"/>
    <w:rsid w:val="000E51C7"/>
    <w:rsid w:val="000F0E73"/>
    <w:rsid w:val="00100203"/>
    <w:rsid w:val="00101AF6"/>
    <w:rsid w:val="00102AFA"/>
    <w:rsid w:val="001063D0"/>
    <w:rsid w:val="0012223F"/>
    <w:rsid w:val="00124033"/>
    <w:rsid w:val="00124467"/>
    <w:rsid w:val="001244DF"/>
    <w:rsid w:val="0013230F"/>
    <w:rsid w:val="0014339B"/>
    <w:rsid w:val="001451C7"/>
    <w:rsid w:val="0015371B"/>
    <w:rsid w:val="001555B4"/>
    <w:rsid w:val="00155BA0"/>
    <w:rsid w:val="001610D0"/>
    <w:rsid w:val="00170980"/>
    <w:rsid w:val="00172A90"/>
    <w:rsid w:val="00173955"/>
    <w:rsid w:val="00176539"/>
    <w:rsid w:val="00182763"/>
    <w:rsid w:val="00184F11"/>
    <w:rsid w:val="001866BA"/>
    <w:rsid w:val="0018749A"/>
    <w:rsid w:val="001875AB"/>
    <w:rsid w:val="00196D8C"/>
    <w:rsid w:val="001A4626"/>
    <w:rsid w:val="001A6D1E"/>
    <w:rsid w:val="001A71A9"/>
    <w:rsid w:val="001A71E5"/>
    <w:rsid w:val="001C5776"/>
    <w:rsid w:val="001D1A25"/>
    <w:rsid w:val="001E4463"/>
    <w:rsid w:val="001E47CE"/>
    <w:rsid w:val="001E5BCD"/>
    <w:rsid w:val="001F1F52"/>
    <w:rsid w:val="00203533"/>
    <w:rsid w:val="00210D0C"/>
    <w:rsid w:val="00211048"/>
    <w:rsid w:val="002232C3"/>
    <w:rsid w:val="002316E6"/>
    <w:rsid w:val="00231A35"/>
    <w:rsid w:val="002355E9"/>
    <w:rsid w:val="00235808"/>
    <w:rsid w:val="00243E50"/>
    <w:rsid w:val="00247ADA"/>
    <w:rsid w:val="00247F47"/>
    <w:rsid w:val="00254931"/>
    <w:rsid w:val="002566AD"/>
    <w:rsid w:val="00256E63"/>
    <w:rsid w:val="00260DEE"/>
    <w:rsid w:val="00262FEC"/>
    <w:rsid w:val="00280409"/>
    <w:rsid w:val="00290594"/>
    <w:rsid w:val="00293D58"/>
    <w:rsid w:val="00295615"/>
    <w:rsid w:val="002A09C5"/>
    <w:rsid w:val="002A635C"/>
    <w:rsid w:val="002B06F6"/>
    <w:rsid w:val="002B5B34"/>
    <w:rsid w:val="002B6409"/>
    <w:rsid w:val="002B6BE7"/>
    <w:rsid w:val="002C30D4"/>
    <w:rsid w:val="002C56A6"/>
    <w:rsid w:val="002C6EA5"/>
    <w:rsid w:val="002E743C"/>
    <w:rsid w:val="002E7A9F"/>
    <w:rsid w:val="00301D81"/>
    <w:rsid w:val="0031732B"/>
    <w:rsid w:val="00322095"/>
    <w:rsid w:val="00323E34"/>
    <w:rsid w:val="00327C1A"/>
    <w:rsid w:val="0033006D"/>
    <w:rsid w:val="00332A1C"/>
    <w:rsid w:val="00332AD1"/>
    <w:rsid w:val="00333685"/>
    <w:rsid w:val="00334B0F"/>
    <w:rsid w:val="00334D2A"/>
    <w:rsid w:val="003367B4"/>
    <w:rsid w:val="003371DB"/>
    <w:rsid w:val="0034100E"/>
    <w:rsid w:val="00350AEA"/>
    <w:rsid w:val="00351516"/>
    <w:rsid w:val="00356E1F"/>
    <w:rsid w:val="003606C6"/>
    <w:rsid w:val="003628FA"/>
    <w:rsid w:val="00376AB8"/>
    <w:rsid w:val="00390CC2"/>
    <w:rsid w:val="003948BC"/>
    <w:rsid w:val="00395922"/>
    <w:rsid w:val="00395CC2"/>
    <w:rsid w:val="00397D60"/>
    <w:rsid w:val="003A4954"/>
    <w:rsid w:val="003A49C6"/>
    <w:rsid w:val="003A5A19"/>
    <w:rsid w:val="003B0269"/>
    <w:rsid w:val="003B1AF4"/>
    <w:rsid w:val="003B2EA0"/>
    <w:rsid w:val="003B3396"/>
    <w:rsid w:val="003B52EF"/>
    <w:rsid w:val="003C1831"/>
    <w:rsid w:val="003C2E4E"/>
    <w:rsid w:val="003C3065"/>
    <w:rsid w:val="003C60BD"/>
    <w:rsid w:val="003C64C7"/>
    <w:rsid w:val="003C7883"/>
    <w:rsid w:val="003C7EB4"/>
    <w:rsid w:val="003D025D"/>
    <w:rsid w:val="003D068E"/>
    <w:rsid w:val="003D40A0"/>
    <w:rsid w:val="003E098F"/>
    <w:rsid w:val="003E47F7"/>
    <w:rsid w:val="003E4CE4"/>
    <w:rsid w:val="003F33A7"/>
    <w:rsid w:val="003F65E3"/>
    <w:rsid w:val="004030FC"/>
    <w:rsid w:val="00404D08"/>
    <w:rsid w:val="00411257"/>
    <w:rsid w:val="0041139F"/>
    <w:rsid w:val="004138B4"/>
    <w:rsid w:val="0041733C"/>
    <w:rsid w:val="004176BF"/>
    <w:rsid w:val="00417B1B"/>
    <w:rsid w:val="004211CD"/>
    <w:rsid w:val="00423513"/>
    <w:rsid w:val="00423A1B"/>
    <w:rsid w:val="004247F7"/>
    <w:rsid w:val="004258D0"/>
    <w:rsid w:val="00425CBF"/>
    <w:rsid w:val="00425F88"/>
    <w:rsid w:val="004264D3"/>
    <w:rsid w:val="00430026"/>
    <w:rsid w:val="00431337"/>
    <w:rsid w:val="00431571"/>
    <w:rsid w:val="004436DB"/>
    <w:rsid w:val="00445A10"/>
    <w:rsid w:val="00450553"/>
    <w:rsid w:val="004607C2"/>
    <w:rsid w:val="00461D59"/>
    <w:rsid w:val="0046257E"/>
    <w:rsid w:val="004628C7"/>
    <w:rsid w:val="004628D5"/>
    <w:rsid w:val="00465382"/>
    <w:rsid w:val="00484FCD"/>
    <w:rsid w:val="00487120"/>
    <w:rsid w:val="00495509"/>
    <w:rsid w:val="00495D4F"/>
    <w:rsid w:val="004A05D4"/>
    <w:rsid w:val="004A0C28"/>
    <w:rsid w:val="004A3E0B"/>
    <w:rsid w:val="004A5315"/>
    <w:rsid w:val="004B13BE"/>
    <w:rsid w:val="004C1FE7"/>
    <w:rsid w:val="004D3DF8"/>
    <w:rsid w:val="004D430B"/>
    <w:rsid w:val="004D5835"/>
    <w:rsid w:val="004D6BA9"/>
    <w:rsid w:val="004E55EB"/>
    <w:rsid w:val="004E6D88"/>
    <w:rsid w:val="004F1E12"/>
    <w:rsid w:val="00500AD2"/>
    <w:rsid w:val="00502A1A"/>
    <w:rsid w:val="00503CA1"/>
    <w:rsid w:val="00506B23"/>
    <w:rsid w:val="00510BA1"/>
    <w:rsid w:val="00513082"/>
    <w:rsid w:val="00513CB2"/>
    <w:rsid w:val="005148DA"/>
    <w:rsid w:val="00514A07"/>
    <w:rsid w:val="0051695D"/>
    <w:rsid w:val="00517CE2"/>
    <w:rsid w:val="00517D2D"/>
    <w:rsid w:val="00520047"/>
    <w:rsid w:val="00523669"/>
    <w:rsid w:val="00523C6F"/>
    <w:rsid w:val="00524CB6"/>
    <w:rsid w:val="00527C81"/>
    <w:rsid w:val="005301DB"/>
    <w:rsid w:val="005301DC"/>
    <w:rsid w:val="00530275"/>
    <w:rsid w:val="00546D71"/>
    <w:rsid w:val="0055089F"/>
    <w:rsid w:val="00562764"/>
    <w:rsid w:val="0056484A"/>
    <w:rsid w:val="00570043"/>
    <w:rsid w:val="0057599E"/>
    <w:rsid w:val="005818AB"/>
    <w:rsid w:val="0058246F"/>
    <w:rsid w:val="005840A9"/>
    <w:rsid w:val="005906FB"/>
    <w:rsid w:val="00590BE6"/>
    <w:rsid w:val="00595A5B"/>
    <w:rsid w:val="0059673E"/>
    <w:rsid w:val="00596E7B"/>
    <w:rsid w:val="005A11A7"/>
    <w:rsid w:val="005A1937"/>
    <w:rsid w:val="005A453F"/>
    <w:rsid w:val="005B447B"/>
    <w:rsid w:val="005C358B"/>
    <w:rsid w:val="005C3AF3"/>
    <w:rsid w:val="005C3B1E"/>
    <w:rsid w:val="005C4BF5"/>
    <w:rsid w:val="005C50EE"/>
    <w:rsid w:val="005E5241"/>
    <w:rsid w:val="005E6B01"/>
    <w:rsid w:val="005F5BBC"/>
    <w:rsid w:val="00603B9F"/>
    <w:rsid w:val="0061080E"/>
    <w:rsid w:val="00611589"/>
    <w:rsid w:val="00615561"/>
    <w:rsid w:val="00616803"/>
    <w:rsid w:val="0062027F"/>
    <w:rsid w:val="00626A8E"/>
    <w:rsid w:val="006305CA"/>
    <w:rsid w:val="00630FE0"/>
    <w:rsid w:val="00641A4C"/>
    <w:rsid w:val="00653031"/>
    <w:rsid w:val="006553AB"/>
    <w:rsid w:val="006608A9"/>
    <w:rsid w:val="006608CB"/>
    <w:rsid w:val="006657B2"/>
    <w:rsid w:val="006660B2"/>
    <w:rsid w:val="006678D6"/>
    <w:rsid w:val="00670F3E"/>
    <w:rsid w:val="0067132A"/>
    <w:rsid w:val="00675243"/>
    <w:rsid w:val="00675D5C"/>
    <w:rsid w:val="00681260"/>
    <w:rsid w:val="00682C9C"/>
    <w:rsid w:val="00683C91"/>
    <w:rsid w:val="0068681B"/>
    <w:rsid w:val="00696C6B"/>
    <w:rsid w:val="006A2F2A"/>
    <w:rsid w:val="006A3E07"/>
    <w:rsid w:val="006B0DCF"/>
    <w:rsid w:val="006B4AF8"/>
    <w:rsid w:val="006B77A6"/>
    <w:rsid w:val="006B7A3E"/>
    <w:rsid w:val="006C022D"/>
    <w:rsid w:val="006C601A"/>
    <w:rsid w:val="006D332E"/>
    <w:rsid w:val="006D393E"/>
    <w:rsid w:val="006D5911"/>
    <w:rsid w:val="006E7195"/>
    <w:rsid w:val="006F0490"/>
    <w:rsid w:val="006F07F5"/>
    <w:rsid w:val="006F0D0A"/>
    <w:rsid w:val="006F495B"/>
    <w:rsid w:val="006F5EC4"/>
    <w:rsid w:val="006F6072"/>
    <w:rsid w:val="006F7CDE"/>
    <w:rsid w:val="00700088"/>
    <w:rsid w:val="007020E3"/>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637C"/>
    <w:rsid w:val="0077222E"/>
    <w:rsid w:val="007740E1"/>
    <w:rsid w:val="00783CBE"/>
    <w:rsid w:val="007840C7"/>
    <w:rsid w:val="00791331"/>
    <w:rsid w:val="00791F09"/>
    <w:rsid w:val="007932D3"/>
    <w:rsid w:val="007A127F"/>
    <w:rsid w:val="007A4FE6"/>
    <w:rsid w:val="007A671F"/>
    <w:rsid w:val="007A6D7B"/>
    <w:rsid w:val="007B2523"/>
    <w:rsid w:val="007B4957"/>
    <w:rsid w:val="007C0E18"/>
    <w:rsid w:val="007C3458"/>
    <w:rsid w:val="007C3FA9"/>
    <w:rsid w:val="007C42C0"/>
    <w:rsid w:val="007D23DA"/>
    <w:rsid w:val="007D4273"/>
    <w:rsid w:val="007D44D3"/>
    <w:rsid w:val="007D619B"/>
    <w:rsid w:val="007D7BBA"/>
    <w:rsid w:val="007E20D5"/>
    <w:rsid w:val="007E27A7"/>
    <w:rsid w:val="007E38EC"/>
    <w:rsid w:val="007E40C9"/>
    <w:rsid w:val="007E4261"/>
    <w:rsid w:val="007E705C"/>
    <w:rsid w:val="007F0B8B"/>
    <w:rsid w:val="007F4E5E"/>
    <w:rsid w:val="007F5045"/>
    <w:rsid w:val="008028BD"/>
    <w:rsid w:val="00803F44"/>
    <w:rsid w:val="008056B9"/>
    <w:rsid w:val="00805755"/>
    <w:rsid w:val="00815AEC"/>
    <w:rsid w:val="0081624A"/>
    <w:rsid w:val="008200AA"/>
    <w:rsid w:val="00825594"/>
    <w:rsid w:val="00825D1D"/>
    <w:rsid w:val="008316F6"/>
    <w:rsid w:val="0083170B"/>
    <w:rsid w:val="0083206B"/>
    <w:rsid w:val="0083583D"/>
    <w:rsid w:val="0084435D"/>
    <w:rsid w:val="00850627"/>
    <w:rsid w:val="00851EA0"/>
    <w:rsid w:val="00852F66"/>
    <w:rsid w:val="00855506"/>
    <w:rsid w:val="00856068"/>
    <w:rsid w:val="00857BC3"/>
    <w:rsid w:val="008624A2"/>
    <w:rsid w:val="00863185"/>
    <w:rsid w:val="00865127"/>
    <w:rsid w:val="008661B6"/>
    <w:rsid w:val="00871448"/>
    <w:rsid w:val="00880685"/>
    <w:rsid w:val="00881F77"/>
    <w:rsid w:val="00891EAF"/>
    <w:rsid w:val="00897F4A"/>
    <w:rsid w:val="008B5418"/>
    <w:rsid w:val="008C4891"/>
    <w:rsid w:val="008C7181"/>
    <w:rsid w:val="008D01FE"/>
    <w:rsid w:val="008D1145"/>
    <w:rsid w:val="008D4C21"/>
    <w:rsid w:val="008D5244"/>
    <w:rsid w:val="008E24C3"/>
    <w:rsid w:val="008E4381"/>
    <w:rsid w:val="008E689F"/>
    <w:rsid w:val="008F05F6"/>
    <w:rsid w:val="008F2D87"/>
    <w:rsid w:val="008F6CFF"/>
    <w:rsid w:val="009062AF"/>
    <w:rsid w:val="00910F0A"/>
    <w:rsid w:val="00911E11"/>
    <w:rsid w:val="00915366"/>
    <w:rsid w:val="00915709"/>
    <w:rsid w:val="009203F2"/>
    <w:rsid w:val="00920DAC"/>
    <w:rsid w:val="00921F86"/>
    <w:rsid w:val="00922096"/>
    <w:rsid w:val="0092572E"/>
    <w:rsid w:val="009313BB"/>
    <w:rsid w:val="00934700"/>
    <w:rsid w:val="009353BE"/>
    <w:rsid w:val="009408D8"/>
    <w:rsid w:val="009411E5"/>
    <w:rsid w:val="009415F4"/>
    <w:rsid w:val="00946A7B"/>
    <w:rsid w:val="00947868"/>
    <w:rsid w:val="0095178A"/>
    <w:rsid w:val="00952B8E"/>
    <w:rsid w:val="00954020"/>
    <w:rsid w:val="0096262D"/>
    <w:rsid w:val="009627F5"/>
    <w:rsid w:val="00963038"/>
    <w:rsid w:val="009646CA"/>
    <w:rsid w:val="00965F5E"/>
    <w:rsid w:val="00966D2D"/>
    <w:rsid w:val="00970A6C"/>
    <w:rsid w:val="00971698"/>
    <w:rsid w:val="00972401"/>
    <w:rsid w:val="00973588"/>
    <w:rsid w:val="00974C5E"/>
    <w:rsid w:val="0098217E"/>
    <w:rsid w:val="00982566"/>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A0044A"/>
    <w:rsid w:val="00A018D0"/>
    <w:rsid w:val="00A111E6"/>
    <w:rsid w:val="00A15CE7"/>
    <w:rsid w:val="00A15DBB"/>
    <w:rsid w:val="00A20128"/>
    <w:rsid w:val="00A20AF1"/>
    <w:rsid w:val="00A229DB"/>
    <w:rsid w:val="00A254C1"/>
    <w:rsid w:val="00A25544"/>
    <w:rsid w:val="00A31F9B"/>
    <w:rsid w:val="00A401CB"/>
    <w:rsid w:val="00A416E1"/>
    <w:rsid w:val="00A41880"/>
    <w:rsid w:val="00A45E7A"/>
    <w:rsid w:val="00A46CA8"/>
    <w:rsid w:val="00A51C5B"/>
    <w:rsid w:val="00A5311C"/>
    <w:rsid w:val="00A53D17"/>
    <w:rsid w:val="00A54F27"/>
    <w:rsid w:val="00A57DB9"/>
    <w:rsid w:val="00A64DCE"/>
    <w:rsid w:val="00A65780"/>
    <w:rsid w:val="00A66495"/>
    <w:rsid w:val="00A66FE1"/>
    <w:rsid w:val="00A67927"/>
    <w:rsid w:val="00A70C8D"/>
    <w:rsid w:val="00A734DB"/>
    <w:rsid w:val="00A7737B"/>
    <w:rsid w:val="00A775F0"/>
    <w:rsid w:val="00A77B98"/>
    <w:rsid w:val="00A8502F"/>
    <w:rsid w:val="00A86173"/>
    <w:rsid w:val="00A87712"/>
    <w:rsid w:val="00A9075B"/>
    <w:rsid w:val="00AA0405"/>
    <w:rsid w:val="00AA1742"/>
    <w:rsid w:val="00AA60AB"/>
    <w:rsid w:val="00AB2586"/>
    <w:rsid w:val="00AB2599"/>
    <w:rsid w:val="00AC0DC5"/>
    <w:rsid w:val="00AC1515"/>
    <w:rsid w:val="00AC23A3"/>
    <w:rsid w:val="00AC31F8"/>
    <w:rsid w:val="00AC33DA"/>
    <w:rsid w:val="00AC3D92"/>
    <w:rsid w:val="00AC4DF2"/>
    <w:rsid w:val="00AD1015"/>
    <w:rsid w:val="00AD1532"/>
    <w:rsid w:val="00AD5077"/>
    <w:rsid w:val="00AF4925"/>
    <w:rsid w:val="00AF549D"/>
    <w:rsid w:val="00B0111B"/>
    <w:rsid w:val="00B0676C"/>
    <w:rsid w:val="00B110D7"/>
    <w:rsid w:val="00B11DFE"/>
    <w:rsid w:val="00B15377"/>
    <w:rsid w:val="00B158D1"/>
    <w:rsid w:val="00B234DF"/>
    <w:rsid w:val="00B44C12"/>
    <w:rsid w:val="00B505C3"/>
    <w:rsid w:val="00B51D7D"/>
    <w:rsid w:val="00B56BFA"/>
    <w:rsid w:val="00B63F21"/>
    <w:rsid w:val="00B7051B"/>
    <w:rsid w:val="00B70A1E"/>
    <w:rsid w:val="00B72056"/>
    <w:rsid w:val="00B75E64"/>
    <w:rsid w:val="00B76F0E"/>
    <w:rsid w:val="00B83DED"/>
    <w:rsid w:val="00B860FC"/>
    <w:rsid w:val="00B87D00"/>
    <w:rsid w:val="00B91287"/>
    <w:rsid w:val="00B93D1D"/>
    <w:rsid w:val="00B96918"/>
    <w:rsid w:val="00BA21C3"/>
    <w:rsid w:val="00BA466D"/>
    <w:rsid w:val="00BA658E"/>
    <w:rsid w:val="00BB27A1"/>
    <w:rsid w:val="00BB384B"/>
    <w:rsid w:val="00BB54E4"/>
    <w:rsid w:val="00BB6162"/>
    <w:rsid w:val="00BB7FA4"/>
    <w:rsid w:val="00BC6500"/>
    <w:rsid w:val="00BD425C"/>
    <w:rsid w:val="00BD5A87"/>
    <w:rsid w:val="00BF3606"/>
    <w:rsid w:val="00BF66F4"/>
    <w:rsid w:val="00C04E08"/>
    <w:rsid w:val="00C110D4"/>
    <w:rsid w:val="00C11815"/>
    <w:rsid w:val="00C124FE"/>
    <w:rsid w:val="00C13807"/>
    <w:rsid w:val="00C21451"/>
    <w:rsid w:val="00C21AC3"/>
    <w:rsid w:val="00C22142"/>
    <w:rsid w:val="00C23633"/>
    <w:rsid w:val="00C24E0F"/>
    <w:rsid w:val="00C2528D"/>
    <w:rsid w:val="00C27D51"/>
    <w:rsid w:val="00C33E54"/>
    <w:rsid w:val="00C40BD7"/>
    <w:rsid w:val="00C44FD3"/>
    <w:rsid w:val="00C455CB"/>
    <w:rsid w:val="00C50C6F"/>
    <w:rsid w:val="00C54589"/>
    <w:rsid w:val="00C61BF5"/>
    <w:rsid w:val="00C66674"/>
    <w:rsid w:val="00C7218F"/>
    <w:rsid w:val="00C84C27"/>
    <w:rsid w:val="00C86C3C"/>
    <w:rsid w:val="00C934BE"/>
    <w:rsid w:val="00CA4144"/>
    <w:rsid w:val="00CA5BA2"/>
    <w:rsid w:val="00CA61B2"/>
    <w:rsid w:val="00CB0228"/>
    <w:rsid w:val="00CB1331"/>
    <w:rsid w:val="00CB20D4"/>
    <w:rsid w:val="00CC3606"/>
    <w:rsid w:val="00CC66C5"/>
    <w:rsid w:val="00CE305A"/>
    <w:rsid w:val="00CF3BEC"/>
    <w:rsid w:val="00D00FB8"/>
    <w:rsid w:val="00D05604"/>
    <w:rsid w:val="00D06902"/>
    <w:rsid w:val="00D105BC"/>
    <w:rsid w:val="00D11AB8"/>
    <w:rsid w:val="00D11E73"/>
    <w:rsid w:val="00D12575"/>
    <w:rsid w:val="00D12E75"/>
    <w:rsid w:val="00D14ED4"/>
    <w:rsid w:val="00D157EC"/>
    <w:rsid w:val="00D20C23"/>
    <w:rsid w:val="00D334C4"/>
    <w:rsid w:val="00D35627"/>
    <w:rsid w:val="00D3670F"/>
    <w:rsid w:val="00D37B02"/>
    <w:rsid w:val="00D4113A"/>
    <w:rsid w:val="00D42987"/>
    <w:rsid w:val="00D464D8"/>
    <w:rsid w:val="00D54A2D"/>
    <w:rsid w:val="00D6058E"/>
    <w:rsid w:val="00D615F3"/>
    <w:rsid w:val="00D80FB5"/>
    <w:rsid w:val="00D832BE"/>
    <w:rsid w:val="00D84722"/>
    <w:rsid w:val="00D849A1"/>
    <w:rsid w:val="00D86E64"/>
    <w:rsid w:val="00D87FC1"/>
    <w:rsid w:val="00DA561D"/>
    <w:rsid w:val="00DB3428"/>
    <w:rsid w:val="00DB5F8A"/>
    <w:rsid w:val="00DB641D"/>
    <w:rsid w:val="00DC133E"/>
    <w:rsid w:val="00DC61D7"/>
    <w:rsid w:val="00DD46D4"/>
    <w:rsid w:val="00DD4D5F"/>
    <w:rsid w:val="00DD5C0B"/>
    <w:rsid w:val="00DE2E56"/>
    <w:rsid w:val="00DE2F51"/>
    <w:rsid w:val="00DE486D"/>
    <w:rsid w:val="00DE4DB5"/>
    <w:rsid w:val="00DE5CDE"/>
    <w:rsid w:val="00E00766"/>
    <w:rsid w:val="00E00CCB"/>
    <w:rsid w:val="00E02F3F"/>
    <w:rsid w:val="00E07B80"/>
    <w:rsid w:val="00E10416"/>
    <w:rsid w:val="00E21ECB"/>
    <w:rsid w:val="00E22B4C"/>
    <w:rsid w:val="00E315E8"/>
    <w:rsid w:val="00E3448A"/>
    <w:rsid w:val="00E40AC5"/>
    <w:rsid w:val="00E42A31"/>
    <w:rsid w:val="00E43E30"/>
    <w:rsid w:val="00E44164"/>
    <w:rsid w:val="00E47017"/>
    <w:rsid w:val="00E50F8F"/>
    <w:rsid w:val="00E54B17"/>
    <w:rsid w:val="00E56AF6"/>
    <w:rsid w:val="00E65A3F"/>
    <w:rsid w:val="00E67F4C"/>
    <w:rsid w:val="00E72913"/>
    <w:rsid w:val="00E81507"/>
    <w:rsid w:val="00E84E02"/>
    <w:rsid w:val="00E8777E"/>
    <w:rsid w:val="00E878DA"/>
    <w:rsid w:val="00E934D1"/>
    <w:rsid w:val="00E93F74"/>
    <w:rsid w:val="00EA76D7"/>
    <w:rsid w:val="00EA7B2A"/>
    <w:rsid w:val="00EB42B2"/>
    <w:rsid w:val="00EC0BAC"/>
    <w:rsid w:val="00EC65D8"/>
    <w:rsid w:val="00ED050C"/>
    <w:rsid w:val="00ED5636"/>
    <w:rsid w:val="00EE3346"/>
    <w:rsid w:val="00EE5B9C"/>
    <w:rsid w:val="00EF0C04"/>
    <w:rsid w:val="00EF2D01"/>
    <w:rsid w:val="00F00132"/>
    <w:rsid w:val="00F01545"/>
    <w:rsid w:val="00F12E11"/>
    <w:rsid w:val="00F13D0A"/>
    <w:rsid w:val="00F152B5"/>
    <w:rsid w:val="00F2000B"/>
    <w:rsid w:val="00F20053"/>
    <w:rsid w:val="00F32341"/>
    <w:rsid w:val="00F34282"/>
    <w:rsid w:val="00F4323B"/>
    <w:rsid w:val="00F44577"/>
    <w:rsid w:val="00F57C8E"/>
    <w:rsid w:val="00F61E74"/>
    <w:rsid w:val="00F6242D"/>
    <w:rsid w:val="00F62A6B"/>
    <w:rsid w:val="00F73C6D"/>
    <w:rsid w:val="00F9588C"/>
    <w:rsid w:val="00FB0B78"/>
    <w:rsid w:val="00FB624F"/>
    <w:rsid w:val="00FC45D1"/>
    <w:rsid w:val="00FC5EDD"/>
    <w:rsid w:val="00FD7D82"/>
    <w:rsid w:val="00FE2CC0"/>
    <w:rsid w:val="00FE53CE"/>
    <w:rsid w:val="00FE60D4"/>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cha.europa.eu/hu/information-on-chemicals/cl-inventory-database/-/cl-inventory/view-notification-summary/13491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ngineeringtoolbox.com/ispropanol-water-d_988.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7</Pages>
  <Words>2759</Words>
  <Characters>19040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7</cp:revision>
  <cp:lastPrinted>2013-10-29T20:06:00Z</cp:lastPrinted>
  <dcterms:created xsi:type="dcterms:W3CDTF">2019-01-27T15:56:00Z</dcterms:created>
  <dcterms:modified xsi:type="dcterms:W3CDTF">2019-06-12T14:08:00Z</dcterms:modified>
</cp:coreProperties>
</file>