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94" w:rsidRDefault="00CE7B94"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CE7B94" w:rsidRDefault="00CE7B94"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alapján</w:t>
      </w:r>
    </w:p>
    <w:p w:rsidR="00CE7B94" w:rsidRDefault="00CE7B9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CE7B94" w:rsidRDefault="00CE7B94"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WC tisztító gél – ocean fresh</w:t>
      </w:r>
    </w:p>
    <w:p w:rsidR="00CE7B94" w:rsidRDefault="00CE7B94"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CE7B94" w:rsidRPr="00623045" w:rsidRDefault="00CE7B94"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CE7B94" w:rsidRDefault="00CE7B94"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CE7B94" w:rsidRPr="0008511E" w:rsidRDefault="00CE7B94"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CE7B94" w:rsidRPr="0008511E" w:rsidRDefault="00CE7B94" w:rsidP="005C50EE">
      <w:pPr>
        <w:tabs>
          <w:tab w:val="left" w:pos="1985"/>
        </w:tabs>
        <w:ind w:left="426"/>
        <w:rPr>
          <w:rFonts w:ascii="Tahoma" w:hAnsi="Tahoma" w:cs="Tahoma"/>
        </w:rPr>
      </w:pPr>
      <w:r w:rsidRPr="0008511E">
        <w:rPr>
          <w:rFonts w:ascii="Tahoma" w:hAnsi="Tahoma" w:cs="Tahoma"/>
        </w:rPr>
        <w:t>H-3333 Terpes, Petőfi út 2 – 4.</w:t>
      </w:r>
    </w:p>
    <w:p w:rsidR="00CE7B94" w:rsidRDefault="00CE7B9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E7B94" w:rsidRPr="0008511E" w:rsidRDefault="00CE7B94" w:rsidP="005C50EE">
      <w:pPr>
        <w:tabs>
          <w:tab w:val="left" w:pos="1985"/>
        </w:tabs>
        <w:ind w:left="426"/>
        <w:rPr>
          <w:rFonts w:ascii="Tahoma" w:hAnsi="Tahoma" w:cs="Tahoma"/>
        </w:rPr>
      </w:pPr>
      <w:r>
        <w:rPr>
          <w:rFonts w:ascii="Tahoma" w:hAnsi="Tahoma" w:cs="Tahoma"/>
        </w:rPr>
        <w:t>honlap: www.gironde.hu</w:t>
      </w:r>
    </w:p>
    <w:p w:rsidR="00CE7B94" w:rsidRDefault="00CE7B9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CE7B94" w:rsidRPr="004D5835" w:rsidRDefault="00CE7B94"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CE7B94" w:rsidRDefault="00CE7B94"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CE7B94" w:rsidRDefault="00CE7B9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CE7B94" w:rsidRDefault="00CE7B9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CE7B94" w:rsidRPr="00102F47" w:rsidRDefault="00CE7B94" w:rsidP="00102F47">
      <w:pPr>
        <w:spacing w:after="120"/>
        <w:jc w:val="both"/>
        <w:rPr>
          <w:rFonts w:ascii="Tahoma" w:hAnsi="Tahoma" w:cs="Tahoma"/>
        </w:rPr>
      </w:pPr>
      <w:bookmarkStart w:id="0" w:name="OLE_LINK1"/>
      <w:r w:rsidRPr="008F05F6">
        <w:rPr>
          <w:rFonts w:ascii="Tahoma" w:hAnsi="Tahoma" w:cs="Tahoma"/>
          <w:b/>
          <w:bCs/>
          <w:snapToGrid w:val="0"/>
        </w:rPr>
        <w:t>2.1. A keverék osztályozása:</w:t>
      </w:r>
      <w:r w:rsidRPr="00102F47">
        <w:rPr>
          <w:rFonts w:ascii="Tahoma" w:hAnsi="Tahoma" w:cs="Tahoma"/>
          <w:snapToGrid w:val="0"/>
        </w:rPr>
        <w:t xml:space="preserve"> a</w:t>
      </w:r>
      <w:r w:rsidRPr="00102F47">
        <w:rPr>
          <w:rFonts w:ascii="Tahoma" w:hAnsi="Tahoma" w:cs="Tahoma"/>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CE7B94" w:rsidRPr="00102F47">
        <w:tc>
          <w:tcPr>
            <w:tcW w:w="3828" w:type="dxa"/>
            <w:gridSpan w:val="2"/>
            <w:tcBorders>
              <w:top w:val="nil"/>
              <w:left w:val="nil"/>
              <w:bottom w:val="nil"/>
            </w:tcBorders>
            <w:vAlign w:val="center"/>
          </w:tcPr>
          <w:p w:rsidR="00CE7B94" w:rsidRPr="00102F47" w:rsidRDefault="00CE7B94" w:rsidP="00102F47">
            <w:pPr>
              <w:tabs>
                <w:tab w:val="left" w:pos="5812"/>
              </w:tabs>
              <w:spacing w:before="40" w:after="40"/>
              <w:ind w:left="532" w:hanging="73"/>
              <w:rPr>
                <w:rFonts w:ascii="Tahoma" w:hAnsi="Tahoma" w:cs="Tahoma"/>
                <w:b/>
                <w:bCs/>
                <w:sz w:val="18"/>
                <w:szCs w:val="18"/>
              </w:rPr>
            </w:pPr>
            <w:r w:rsidRPr="00102F47">
              <w:rPr>
                <w:rFonts w:ascii="Tahoma" w:hAnsi="Tahoma" w:cs="Tahoma"/>
                <w:b/>
                <w:bCs/>
                <w:sz w:val="18"/>
                <w:szCs w:val="18"/>
              </w:rPr>
              <w:t>Osztályozása</w:t>
            </w:r>
          </w:p>
        </w:tc>
        <w:tc>
          <w:tcPr>
            <w:tcW w:w="3543" w:type="dxa"/>
            <w:vAlign w:val="center"/>
          </w:tcPr>
          <w:p w:rsidR="00CE7B94" w:rsidRPr="00102F47" w:rsidRDefault="00CE7B94" w:rsidP="00EC3168">
            <w:pPr>
              <w:tabs>
                <w:tab w:val="left" w:pos="5812"/>
              </w:tabs>
              <w:spacing w:before="40" w:after="40"/>
              <w:ind w:hanging="106"/>
              <w:jc w:val="center"/>
              <w:rPr>
                <w:rFonts w:ascii="Tahoma" w:hAnsi="Tahoma" w:cs="Tahoma"/>
                <w:b/>
                <w:bCs/>
                <w:sz w:val="18"/>
                <w:szCs w:val="18"/>
              </w:rPr>
            </w:pPr>
            <w:r w:rsidRPr="00102F47">
              <w:rPr>
                <w:rFonts w:ascii="Tahoma" w:hAnsi="Tahoma" w:cs="Tahoma"/>
                <w:b/>
                <w:bCs/>
                <w:sz w:val="18"/>
                <w:szCs w:val="18"/>
              </w:rPr>
              <w:t>Veszélyességi osztály</w:t>
            </w:r>
          </w:p>
        </w:tc>
        <w:tc>
          <w:tcPr>
            <w:tcW w:w="1418" w:type="dxa"/>
            <w:vAlign w:val="center"/>
          </w:tcPr>
          <w:p w:rsidR="00CE7B94" w:rsidRPr="00102F47" w:rsidRDefault="00CE7B94" w:rsidP="00102F47">
            <w:pPr>
              <w:tabs>
                <w:tab w:val="left" w:pos="5812"/>
              </w:tabs>
              <w:spacing w:before="40" w:after="40"/>
              <w:ind w:right="-108"/>
              <w:jc w:val="center"/>
              <w:rPr>
                <w:rFonts w:ascii="Tahoma" w:hAnsi="Tahoma" w:cs="Tahoma"/>
                <w:b/>
                <w:bCs/>
                <w:sz w:val="18"/>
                <w:szCs w:val="18"/>
              </w:rPr>
            </w:pPr>
            <w:r w:rsidRPr="00102F47">
              <w:rPr>
                <w:rFonts w:ascii="Tahoma" w:hAnsi="Tahoma" w:cs="Tahoma"/>
                <w:b/>
                <w:bCs/>
                <w:sz w:val="18"/>
                <w:szCs w:val="18"/>
              </w:rPr>
              <w:t>Veszélyességi kategória</w:t>
            </w:r>
            <w:r w:rsidRPr="00102F47">
              <w:rPr>
                <w:rStyle w:val="FootnoteReference"/>
                <w:rFonts w:ascii="Tahoma" w:hAnsi="Tahoma" w:cs="Tahoma"/>
                <w:b/>
                <w:bCs/>
                <w:sz w:val="18"/>
                <w:szCs w:val="18"/>
              </w:rPr>
              <w:footnoteReference w:id="1"/>
            </w:r>
          </w:p>
        </w:tc>
      </w:tr>
      <w:tr w:rsidR="00CE7B94" w:rsidRPr="00102F47">
        <w:tc>
          <w:tcPr>
            <w:tcW w:w="2410" w:type="dxa"/>
            <w:vMerge w:val="restart"/>
            <w:tcBorders>
              <w:top w:val="nil"/>
              <w:left w:val="nil"/>
            </w:tcBorders>
            <w:vAlign w:val="center"/>
          </w:tcPr>
          <w:p w:rsidR="00CE7B94" w:rsidRPr="00102F47" w:rsidRDefault="00CE7B94" w:rsidP="00102F47">
            <w:pPr>
              <w:tabs>
                <w:tab w:val="left" w:pos="5812"/>
              </w:tabs>
              <w:spacing w:before="20" w:after="40"/>
              <w:ind w:firstLine="459"/>
              <w:rPr>
                <w:rFonts w:ascii="Tahoma" w:hAnsi="Tahoma" w:cs="Tahoma"/>
                <w:b/>
                <w:bCs/>
                <w:sz w:val="18"/>
                <w:szCs w:val="18"/>
              </w:rPr>
            </w:pPr>
            <w:r w:rsidRPr="00102F47">
              <w:rPr>
                <w:rFonts w:ascii="Tahoma" w:hAnsi="Tahoma" w:cs="Tahoma"/>
                <w:b/>
                <w:bCs/>
                <w:sz w:val="18"/>
                <w:szCs w:val="18"/>
              </w:rPr>
              <w:t>Egészségi veszély:</w:t>
            </w:r>
          </w:p>
        </w:tc>
        <w:tc>
          <w:tcPr>
            <w:tcW w:w="1418" w:type="dxa"/>
            <w:vAlign w:val="center"/>
          </w:tcPr>
          <w:p w:rsidR="00CE7B94" w:rsidRPr="00102F47" w:rsidRDefault="00CE7B94"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Eye Irrit. 2</w:t>
            </w:r>
          </w:p>
        </w:tc>
        <w:tc>
          <w:tcPr>
            <w:tcW w:w="3543" w:type="dxa"/>
          </w:tcPr>
          <w:p w:rsidR="00CE7B94" w:rsidRPr="00102F47" w:rsidRDefault="00CE7B94"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Súlyos szemkárosodás/szemirritáció</w:t>
            </w:r>
          </w:p>
        </w:tc>
        <w:tc>
          <w:tcPr>
            <w:tcW w:w="1418" w:type="dxa"/>
            <w:vAlign w:val="center"/>
          </w:tcPr>
          <w:p w:rsidR="00CE7B94" w:rsidRPr="00102F47" w:rsidRDefault="00CE7B94"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r w:rsidR="00CE7B94" w:rsidRPr="00102F47">
        <w:tc>
          <w:tcPr>
            <w:tcW w:w="2410" w:type="dxa"/>
            <w:vMerge/>
            <w:tcBorders>
              <w:left w:val="nil"/>
              <w:bottom w:val="nil"/>
            </w:tcBorders>
            <w:vAlign w:val="center"/>
          </w:tcPr>
          <w:p w:rsidR="00CE7B94" w:rsidRPr="00102F47" w:rsidRDefault="00CE7B94" w:rsidP="00B5250F">
            <w:pPr>
              <w:tabs>
                <w:tab w:val="left" w:pos="5812"/>
              </w:tabs>
              <w:spacing w:before="20" w:after="40"/>
              <w:ind w:hanging="106"/>
              <w:jc w:val="right"/>
              <w:rPr>
                <w:rFonts w:ascii="Tahoma" w:hAnsi="Tahoma" w:cs="Tahoma"/>
                <w:b/>
                <w:bCs/>
                <w:sz w:val="18"/>
                <w:szCs w:val="18"/>
              </w:rPr>
            </w:pPr>
          </w:p>
        </w:tc>
        <w:tc>
          <w:tcPr>
            <w:tcW w:w="1418" w:type="dxa"/>
            <w:vAlign w:val="center"/>
          </w:tcPr>
          <w:p w:rsidR="00CE7B94" w:rsidRPr="00102F47" w:rsidRDefault="00CE7B94"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Skin Irrit. 2</w:t>
            </w:r>
          </w:p>
        </w:tc>
        <w:tc>
          <w:tcPr>
            <w:tcW w:w="3543" w:type="dxa"/>
          </w:tcPr>
          <w:p w:rsidR="00CE7B94" w:rsidRPr="00102F47" w:rsidRDefault="00CE7B94"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Bőrmarás/bőrirritáció</w:t>
            </w:r>
          </w:p>
        </w:tc>
        <w:tc>
          <w:tcPr>
            <w:tcW w:w="1418" w:type="dxa"/>
            <w:vAlign w:val="center"/>
          </w:tcPr>
          <w:p w:rsidR="00CE7B94" w:rsidRPr="00102F47" w:rsidRDefault="00CE7B94"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bl>
    <w:p w:rsidR="00CE7B94" w:rsidRDefault="00CE7B94" w:rsidP="005D6C4F">
      <w:pPr>
        <w:spacing w:before="120" w:after="40"/>
        <w:jc w:val="both"/>
        <w:rPr>
          <w:rFonts w:ascii="Tahoma" w:hAnsi="Tahoma" w:cs="Tahoma"/>
          <w:snapToGrid w:val="0"/>
        </w:rPr>
      </w:pPr>
      <w:r w:rsidRPr="00184F11">
        <w:rPr>
          <w:rFonts w:ascii="Tahoma" w:hAnsi="Tahoma" w:cs="Tahoma"/>
          <w:b/>
          <w:bCs/>
          <w:snapToGrid w:val="0"/>
        </w:rPr>
        <w:t>2.2. Címkézési elemek</w:t>
      </w:r>
    </w:p>
    <w:p w:rsidR="00CE7B94" w:rsidRDefault="00CE7B94" w:rsidP="008A684B">
      <w:pPr>
        <w:spacing w:after="6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GHS07 </w:t>
      </w:r>
      <w:r w:rsidRPr="006A0D13">
        <w:rPr>
          <w:rFonts w:ascii="Tahoma" w:hAnsi="Tahoma" w:cs="Tahoma"/>
          <w:b/>
          <w:bCs/>
          <w:snapToGrid w:val="0"/>
        </w:rPr>
        <w:t>Figyelmeztetés</w:t>
      </w:r>
      <w:r>
        <w:rPr>
          <w:rFonts w:ascii="Tahoma" w:hAnsi="Tahoma" w:cs="Tahoma"/>
          <w:snapToGrid w:val="0"/>
        </w:rPr>
        <w:t>: FIGYELEM</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7123"/>
      </w:tblGrid>
      <w:tr w:rsidR="00CE7B94" w:rsidRPr="00F35DE9">
        <w:tc>
          <w:tcPr>
            <w:tcW w:w="1666" w:type="dxa"/>
            <w:vAlign w:val="center"/>
          </w:tcPr>
          <w:p w:rsidR="00CE7B94" w:rsidRPr="00922CBA" w:rsidRDefault="00CE7B94" w:rsidP="000A218F">
            <w:pPr>
              <w:spacing w:before="120" w:after="60"/>
              <w:jc w:val="center"/>
              <w:rPr>
                <w:rFonts w:ascii="Tahoma" w:hAnsi="Tahoma" w:cs="Tahoma"/>
                <w:b/>
                <w:bCs/>
                <w:snapToGrid w:val="0"/>
                <w:sz w:val="24"/>
                <w:szCs w:val="24"/>
              </w:rPr>
            </w:pPr>
            <w:r w:rsidRPr="00D07244">
              <w:rPr>
                <w:rFonts w:ascii="Tahoma" w:hAnsi="Tahoma" w:cs="Tahoma"/>
                <w:b/>
                <w:bCs/>
                <w:snapToGrid w:val="0"/>
                <w:sz w:val="22"/>
                <w:szCs w:val="22"/>
              </w:rPr>
              <w:t>FIGYELEM</w:t>
            </w:r>
          </w:p>
          <w:p w:rsidR="00CE7B94" w:rsidRPr="00F35DE9" w:rsidRDefault="00CE7B94" w:rsidP="000A218F">
            <w:pPr>
              <w:spacing w:before="120" w:after="60"/>
              <w:jc w:val="center"/>
              <w:rPr>
                <w:rFonts w:ascii="Tahoma" w:hAnsi="Tahoma" w:cs="Tahoma"/>
                <w:snapToGrid w:val="0"/>
              </w:rPr>
            </w:pPr>
            <w:r w:rsidRPr="000B17D8">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xclam" style="width:70.5pt;height:70.5pt;visibility:visible">
                  <v:imagedata r:id="rId7" o:title=""/>
                </v:shape>
              </w:pict>
            </w:r>
          </w:p>
        </w:tc>
        <w:tc>
          <w:tcPr>
            <w:tcW w:w="7123" w:type="dxa"/>
            <w:vAlign w:val="center"/>
          </w:tcPr>
          <w:p w:rsidR="00CE7B94" w:rsidRDefault="00CE7B94" w:rsidP="00D07244">
            <w:pPr>
              <w:tabs>
                <w:tab w:val="left" w:pos="1560"/>
              </w:tabs>
              <w:spacing w:before="40"/>
              <w:ind w:firstLine="69"/>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ok</w:t>
            </w:r>
            <w:r w:rsidRPr="00BD425C">
              <w:rPr>
                <w:rFonts w:ascii="Tahoma" w:hAnsi="Tahoma" w:cs="Tahoma"/>
                <w:b/>
                <w:bCs/>
                <w:snapToGrid w:val="0"/>
              </w:rPr>
              <w:t>:</w:t>
            </w:r>
          </w:p>
          <w:p w:rsidR="00CE7B94" w:rsidRPr="00EA67AC" w:rsidRDefault="00CE7B94" w:rsidP="00D07244">
            <w:pPr>
              <w:tabs>
                <w:tab w:val="left" w:pos="778"/>
                <w:tab w:val="left" w:pos="1134"/>
              </w:tabs>
              <w:ind w:firstLine="69"/>
              <w:jc w:val="both"/>
              <w:rPr>
                <w:rFonts w:ascii="Tahoma" w:hAnsi="Tahoma" w:cs="Tahoma"/>
                <w:color w:val="000000"/>
              </w:rPr>
            </w:pPr>
            <w:r w:rsidRPr="00EA67AC">
              <w:rPr>
                <w:rFonts w:ascii="Tahoma" w:hAnsi="Tahoma" w:cs="Tahoma"/>
                <w:color w:val="000000"/>
              </w:rPr>
              <w:t>H315</w:t>
            </w:r>
            <w:r w:rsidRPr="00EA67AC">
              <w:rPr>
                <w:rFonts w:ascii="Tahoma" w:hAnsi="Tahoma" w:cs="Tahoma"/>
                <w:color w:val="000000"/>
              </w:rPr>
              <w:tab/>
              <w:t>Bőrirritáló hatású.</w:t>
            </w:r>
          </w:p>
          <w:p w:rsidR="00CE7B94" w:rsidRPr="00177E5D" w:rsidRDefault="00CE7B94" w:rsidP="00D07244">
            <w:pPr>
              <w:tabs>
                <w:tab w:val="left" w:pos="778"/>
                <w:tab w:val="left" w:pos="1134"/>
              </w:tabs>
              <w:ind w:firstLine="69"/>
              <w:jc w:val="both"/>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CE7B94" w:rsidRDefault="00CE7B94" w:rsidP="00D07244">
            <w:pPr>
              <w:tabs>
                <w:tab w:val="left" w:pos="567"/>
                <w:tab w:val="left" w:pos="742"/>
                <w:tab w:val="left" w:pos="1418"/>
                <w:tab w:val="left" w:pos="4395"/>
              </w:tabs>
              <w:spacing w:before="60"/>
              <w:ind w:firstLine="68"/>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p>
          <w:p w:rsidR="00CE7B94" w:rsidRPr="00102F47" w:rsidRDefault="00CE7B94" w:rsidP="00D07244">
            <w:pPr>
              <w:tabs>
                <w:tab w:val="left" w:pos="567"/>
                <w:tab w:val="left" w:pos="742"/>
                <w:tab w:val="left" w:pos="1134"/>
                <w:tab w:val="left" w:pos="4395"/>
              </w:tabs>
              <w:spacing w:before="40"/>
              <w:ind w:firstLine="69"/>
              <w:jc w:val="both"/>
              <w:rPr>
                <w:rFonts w:ascii="Tahoma" w:hAnsi="Tahoma" w:cs="Tahoma"/>
                <w:snapToGrid w:val="0"/>
              </w:rPr>
            </w:pPr>
            <w:r w:rsidRPr="00102F47">
              <w:rPr>
                <w:rFonts w:ascii="Tahoma" w:hAnsi="Tahoma" w:cs="Tahoma"/>
                <w:snapToGrid w:val="0"/>
              </w:rPr>
              <w:t>P102</w:t>
            </w:r>
            <w:r w:rsidRPr="00102F47">
              <w:rPr>
                <w:rFonts w:ascii="Tahoma" w:hAnsi="Tahoma" w:cs="Tahoma"/>
                <w:snapToGrid w:val="0"/>
              </w:rPr>
              <w:tab/>
              <w:t>GYERMEKEKTŐL ELZÁRVA TARTANDÓ.</w:t>
            </w:r>
          </w:p>
          <w:p w:rsidR="00CE7B94" w:rsidRPr="00102F47" w:rsidRDefault="00CE7B94" w:rsidP="00D07244">
            <w:pPr>
              <w:tabs>
                <w:tab w:val="left" w:pos="742"/>
                <w:tab w:val="left" w:pos="1134"/>
                <w:tab w:val="left" w:pos="1912"/>
                <w:tab w:val="left" w:pos="2410"/>
                <w:tab w:val="left" w:pos="4395"/>
              </w:tabs>
              <w:spacing w:before="40"/>
              <w:ind w:left="69"/>
              <w:jc w:val="both"/>
              <w:rPr>
                <w:rFonts w:ascii="Tahoma" w:hAnsi="Tahoma" w:cs="Tahoma"/>
                <w:snapToGrid w:val="0"/>
              </w:rPr>
            </w:pPr>
            <w:r w:rsidRPr="00102F47">
              <w:rPr>
                <w:rFonts w:ascii="Tahoma" w:hAnsi="Tahoma" w:cs="Tahoma"/>
                <w:snapToGrid w:val="0"/>
              </w:rPr>
              <w:t>P305+P351+P338</w:t>
            </w:r>
            <w:r w:rsidRPr="00102F47">
              <w:rPr>
                <w:rFonts w:ascii="Tahoma" w:hAnsi="Tahoma" w:cs="Tahoma"/>
                <w:snapToGrid w:val="0"/>
              </w:rPr>
              <w:tab/>
              <w:t xml:space="preserve">SZEMBE KERÜLÉS ESETÉN: Több percig tartó óvatos öblítés vízzel. Adott esetben a kontaktlencsék eltávolítása, ha könnyen megoldható. Az öblítés folytatása. </w:t>
            </w:r>
          </w:p>
          <w:p w:rsidR="00CE7B94" w:rsidRPr="00102F47" w:rsidRDefault="00CE7B94" w:rsidP="00D07244">
            <w:pPr>
              <w:tabs>
                <w:tab w:val="left" w:pos="742"/>
                <w:tab w:val="left" w:pos="1134"/>
                <w:tab w:val="left" w:pos="1843"/>
                <w:tab w:val="left" w:pos="2410"/>
                <w:tab w:val="left" w:pos="4395"/>
              </w:tabs>
              <w:ind w:left="1418" w:hanging="1349"/>
              <w:jc w:val="both"/>
              <w:rPr>
                <w:rFonts w:ascii="Tahoma" w:hAnsi="Tahoma" w:cs="Tahoma"/>
                <w:snapToGrid w:val="0"/>
              </w:rPr>
            </w:pPr>
            <w:r w:rsidRPr="00102F47">
              <w:rPr>
                <w:rFonts w:ascii="Tahoma" w:hAnsi="Tahoma" w:cs="Tahoma"/>
                <w:snapToGrid w:val="0"/>
              </w:rPr>
              <w:t>P3</w:t>
            </w:r>
            <w:r>
              <w:rPr>
                <w:rFonts w:ascii="Tahoma" w:hAnsi="Tahoma" w:cs="Tahoma"/>
                <w:snapToGrid w:val="0"/>
              </w:rPr>
              <w:t>02</w:t>
            </w:r>
            <w:r w:rsidRPr="00102F47">
              <w:rPr>
                <w:rFonts w:ascii="Tahoma" w:hAnsi="Tahoma" w:cs="Tahoma"/>
                <w:snapToGrid w:val="0"/>
              </w:rPr>
              <w:t>+P3</w:t>
            </w:r>
            <w:r>
              <w:rPr>
                <w:rFonts w:ascii="Tahoma" w:hAnsi="Tahoma" w:cs="Tahoma"/>
                <w:snapToGrid w:val="0"/>
              </w:rPr>
              <w:t>52</w:t>
            </w:r>
            <w:r>
              <w:rPr>
                <w:rFonts w:ascii="Tahoma" w:hAnsi="Tahoma" w:cs="Tahoma"/>
                <w:snapToGrid w:val="0"/>
              </w:rPr>
              <w:tab/>
            </w:r>
            <w:r w:rsidRPr="00102F47">
              <w:rPr>
                <w:rFonts w:ascii="Tahoma" w:hAnsi="Tahoma" w:cs="Tahoma"/>
                <w:snapToGrid w:val="0"/>
              </w:rPr>
              <w:t>HA BŐRRE KERÜL: Lemosás bő szappanos vízzel.</w:t>
            </w:r>
          </w:p>
          <w:p w:rsidR="00CE7B94" w:rsidRDefault="00CE7B94" w:rsidP="005607C0">
            <w:pPr>
              <w:tabs>
                <w:tab w:val="left" w:pos="742"/>
                <w:tab w:val="left" w:pos="1134"/>
                <w:tab w:val="left" w:pos="1843"/>
                <w:tab w:val="left" w:pos="2410"/>
                <w:tab w:val="left" w:pos="4395"/>
              </w:tabs>
              <w:ind w:left="1417" w:hanging="1349"/>
              <w:jc w:val="both"/>
              <w:rPr>
                <w:rFonts w:ascii="Tahoma" w:hAnsi="Tahoma" w:cs="Tahoma"/>
                <w:snapToGrid w:val="0"/>
              </w:rPr>
            </w:pPr>
            <w:r w:rsidRPr="00102F47">
              <w:rPr>
                <w:rFonts w:ascii="Tahoma" w:hAnsi="Tahoma" w:cs="Tahoma"/>
                <w:snapToGrid w:val="0"/>
              </w:rPr>
              <w:t>P337+P313</w:t>
            </w:r>
            <w:r w:rsidRPr="00102F47">
              <w:rPr>
                <w:rFonts w:ascii="Tahoma" w:hAnsi="Tahoma" w:cs="Tahoma"/>
                <w:snapToGrid w:val="0"/>
              </w:rPr>
              <w:tab/>
              <w:t>Ha a szemirritáció nem múlik el: Orvosi ellátást kell kérni.</w:t>
            </w:r>
          </w:p>
          <w:p w:rsidR="00CE7B94" w:rsidRPr="00F35DE9" w:rsidRDefault="00CE7B94" w:rsidP="00DF0ADF">
            <w:pPr>
              <w:spacing w:after="60"/>
              <w:ind w:firstLine="68"/>
              <w:rPr>
                <w:rFonts w:ascii="Tahoma" w:hAnsi="Tahoma" w:cs="Tahoma"/>
                <w:snapToGrid w:val="0"/>
              </w:rPr>
            </w:pPr>
            <w:r w:rsidRPr="005607C0">
              <w:rPr>
                <w:rFonts w:ascii="Tahoma" w:hAnsi="Tahoma" w:cs="Tahoma"/>
                <w:snapToGrid w:val="0"/>
              </w:rPr>
              <w:t>P401</w:t>
            </w:r>
            <w:r w:rsidRPr="005607C0">
              <w:rPr>
                <w:rFonts w:ascii="Tahoma" w:hAnsi="Tahoma" w:cs="Tahoma"/>
                <w:snapToGrid w:val="0"/>
              </w:rPr>
              <w:tab/>
              <w:t>Tárolás: +5</w:t>
            </w:r>
            <w:r>
              <w:rPr>
                <w:rFonts w:ascii="Tahoma" w:hAnsi="Tahoma" w:cs="Tahoma"/>
                <w:snapToGrid w:val="0"/>
              </w:rPr>
              <w:t>°</w:t>
            </w:r>
            <w:r w:rsidRPr="005607C0">
              <w:rPr>
                <w:rFonts w:ascii="Tahoma" w:hAnsi="Tahoma" w:cs="Tahoma"/>
                <w:snapToGrid w:val="0"/>
              </w:rPr>
              <w:t>C feletti hőmérsékleten.</w:t>
            </w:r>
          </w:p>
        </w:tc>
      </w:tr>
    </w:tbl>
    <w:bookmarkEnd w:id="0"/>
    <w:p w:rsidR="00CE7B94" w:rsidRDefault="00CE7B94"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Pr>
          <w:rFonts w:ascii="Tahoma" w:hAnsi="Tahoma" w:cs="Tahoma"/>
          <w:snapToGrid w:val="0"/>
        </w:rPr>
        <w:t>szulfaminsav</w:t>
      </w:r>
    </w:p>
    <w:p w:rsidR="00CE7B94" w:rsidRDefault="00CE7B94" w:rsidP="00EA67AC">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Colorant (CI 42090) </w:t>
      </w:r>
    </w:p>
    <w:p w:rsidR="00CE7B94" w:rsidRDefault="00CE7B94" w:rsidP="00B71939">
      <w:pPr>
        <w:spacing w:before="80"/>
        <w:jc w:val="both"/>
        <w:rPr>
          <w:rFonts w:ascii="Tahoma" w:hAnsi="Tahoma" w:cs="Tahoma"/>
          <w:b/>
          <w:bCs/>
          <w:snapToGrid w:val="0"/>
        </w:rPr>
      </w:pPr>
      <w:r w:rsidRPr="005F5F67">
        <w:rPr>
          <w:rFonts w:ascii="Tahoma" w:hAnsi="Tahoma" w:cs="Tahoma"/>
          <w:b/>
          <w:bCs/>
          <w:snapToGrid w:val="0"/>
        </w:rPr>
        <w:t>2.3. Egyéb veszély</w:t>
      </w:r>
      <w:r>
        <w:rPr>
          <w:rFonts w:ascii="Tahoma" w:hAnsi="Tahoma" w:cs="Tahoma"/>
          <w:b/>
          <w:bCs/>
          <w:snapToGrid w:val="0"/>
        </w:rPr>
        <w:t>ek, információk</w:t>
      </w:r>
    </w:p>
    <w:p w:rsidR="00CE7B94" w:rsidRDefault="00CE7B94" w:rsidP="00102F47">
      <w:pPr>
        <w:jc w:val="both"/>
        <w:rPr>
          <w:rFonts w:ascii="Tahoma" w:hAnsi="Tahoma" w:cs="Tahoma"/>
          <w:snapToGrid w:val="0"/>
        </w:rPr>
      </w:pPr>
      <w:r>
        <w:rPr>
          <w:rFonts w:ascii="Tahoma" w:hAnsi="Tahoma" w:cs="Tahoma"/>
          <w:snapToGrid w:val="0"/>
        </w:rPr>
        <w:t>A</w:t>
      </w:r>
      <w:r w:rsidRPr="00E56761">
        <w:rPr>
          <w:rFonts w:ascii="Tahoma" w:hAnsi="Tahoma" w:cs="Tahoma"/>
          <w:snapToGrid w:val="0"/>
        </w:rPr>
        <w:t xml:space="preserve">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w:t>
      </w:r>
      <w:r>
        <w:rPr>
          <w:rFonts w:ascii="Tahoma" w:hAnsi="Tahoma" w:cs="Tahoma"/>
          <w:snapToGrid w:val="0"/>
        </w:rPr>
        <w:br/>
      </w:r>
      <w:r w:rsidRPr="00E56761">
        <w:rPr>
          <w:rFonts w:ascii="Tahoma" w:hAnsi="Tahoma" w:cs="Tahoma"/>
          <w:snapToGrid w:val="0"/>
        </w:rPr>
        <w:t>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w:t>
      </w:r>
      <w:hyperlink r:id="rId8" w:history="1">
        <w:r w:rsidRPr="00A54E27">
          <w:rPr>
            <w:rStyle w:val="Hyperlink"/>
            <w:rFonts w:ascii="Tahoma" w:hAnsi="Tahoma" w:cs="Tahoma"/>
            <w:snapToGrid w:val="0"/>
          </w:rPr>
          <w:t>http://echa.europa.eu/candidate-list-table</w:t>
        </w:r>
      </w:hyperlink>
    </w:p>
    <w:p w:rsidR="00CE7B94" w:rsidRDefault="00CE7B94" w:rsidP="00102F47">
      <w:pPr>
        <w:spacing w:before="120"/>
        <w:rPr>
          <w:rFonts w:ascii="Tahoma" w:hAnsi="Tahoma" w:cs="Tahoma"/>
          <w:snapToGrid w:val="0"/>
        </w:rPr>
      </w:pPr>
      <w:r>
        <w:rPr>
          <w:rFonts w:ascii="Tahoma" w:hAnsi="Tahoma" w:cs="Tahoma"/>
          <w:snapToGrid w:val="0"/>
        </w:rPr>
        <w:t>A termék nem tartalmaz a REACH XIII. mellékletének kritériumai szerinti PBT-, ill. vPvB-anyagot.</w:t>
      </w:r>
    </w:p>
    <w:p w:rsidR="00CE7B94" w:rsidRDefault="00CE7B94" w:rsidP="008A684B">
      <w:pPr>
        <w:spacing w:before="120"/>
        <w:jc w:val="both"/>
        <w:rPr>
          <w:rFonts w:ascii="Tahoma" w:hAnsi="Tahoma" w:cs="Tahoma"/>
          <w:snapToGrid w:val="0"/>
        </w:rPr>
      </w:pPr>
      <w:r>
        <w:rPr>
          <w:rFonts w:ascii="Tahoma" w:hAnsi="Tahoma" w:cs="Tahoma"/>
          <w:snapToGrid w:val="0"/>
        </w:rPr>
        <w:t>A termék és összetevői nem szerepelnek a REACH XVII. mellékletében, azaz forgalombahozatalára és felhasználására vonatkozó korlátozás nincs.</w:t>
      </w:r>
    </w:p>
    <w:p w:rsidR="00CE7B94" w:rsidRDefault="00CE7B94"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CE7B94" w:rsidRDefault="00CE7B94"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CE7B94" w:rsidRPr="00501707">
        <w:trPr>
          <w:cantSplit/>
          <w:trHeight w:val="335"/>
          <w:jc w:val="center"/>
        </w:trPr>
        <w:tc>
          <w:tcPr>
            <w:tcW w:w="4111" w:type="dxa"/>
            <w:vAlign w:val="center"/>
          </w:tcPr>
          <w:p w:rsidR="00CE7B94" w:rsidRPr="00501707" w:rsidRDefault="00CE7B94"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CE7B94" w:rsidRPr="00501707" w:rsidRDefault="00CE7B94"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CE7B94" w:rsidRPr="00501707" w:rsidRDefault="00CE7B94"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CE7B94" w:rsidRPr="0059199F">
        <w:trPr>
          <w:cantSplit/>
          <w:trHeight w:val="335"/>
          <w:jc w:val="center"/>
        </w:trPr>
        <w:tc>
          <w:tcPr>
            <w:tcW w:w="4111" w:type="dxa"/>
          </w:tcPr>
          <w:p w:rsidR="00CE7B94" w:rsidRDefault="00CE7B94" w:rsidP="00EA67AC">
            <w:pPr>
              <w:spacing w:before="40"/>
              <w:ind w:left="62" w:right="62" w:firstLine="102"/>
              <w:rPr>
                <w:rFonts w:ascii="Tahoma" w:hAnsi="Tahoma" w:cs="Tahoma"/>
                <w:snapToGrid w:val="0"/>
                <w:sz w:val="18"/>
                <w:szCs w:val="18"/>
              </w:rPr>
            </w:pPr>
            <w:r>
              <w:rPr>
                <w:rFonts w:ascii="Tahoma" w:hAnsi="Tahoma" w:cs="Tahoma"/>
                <w:snapToGrid w:val="0"/>
                <w:sz w:val="18"/>
                <w:szCs w:val="18"/>
              </w:rPr>
              <w:t>Szulfaminsav</w:t>
            </w:r>
            <w:r>
              <w:rPr>
                <w:rStyle w:val="FootnoteReference"/>
                <w:rFonts w:ascii="Tahoma" w:hAnsi="Tahoma" w:cs="Tahoma"/>
                <w:snapToGrid w:val="0"/>
                <w:sz w:val="18"/>
                <w:szCs w:val="18"/>
              </w:rPr>
              <w:footnoteReference w:id="2"/>
            </w:r>
            <w:r>
              <w:rPr>
                <w:rFonts w:ascii="Tahoma" w:hAnsi="Tahoma" w:cs="Tahoma"/>
                <w:snapToGrid w:val="0"/>
                <w:sz w:val="18"/>
                <w:szCs w:val="18"/>
              </w:rPr>
              <w:t xml:space="preserve"> </w:t>
            </w:r>
          </w:p>
          <w:p w:rsidR="00CE7B94" w:rsidRDefault="00CE7B94" w:rsidP="00903A13">
            <w:pPr>
              <w:ind w:left="62" w:right="62" w:firstLine="100"/>
              <w:rPr>
                <w:rFonts w:ascii="Tahoma" w:hAnsi="Tahoma" w:cs="Tahoma"/>
                <w:snapToGrid w:val="0"/>
                <w:sz w:val="18"/>
                <w:szCs w:val="18"/>
              </w:rPr>
            </w:pPr>
            <w:r>
              <w:rPr>
                <w:rFonts w:ascii="Tahoma" w:hAnsi="Tahoma" w:cs="Tahoma"/>
                <w:snapToGrid w:val="0"/>
                <w:sz w:val="18"/>
                <w:szCs w:val="18"/>
              </w:rPr>
              <w:t>CAS-szám: 5329-14-6</w:t>
            </w:r>
            <w:r>
              <w:rPr>
                <w:rFonts w:ascii="Tahoma" w:hAnsi="Tahoma" w:cs="Tahoma"/>
                <w:snapToGrid w:val="0"/>
                <w:sz w:val="18"/>
                <w:szCs w:val="18"/>
              </w:rPr>
              <w:tab/>
              <w:t>EK-szám: 226-218-8</w:t>
            </w:r>
          </w:p>
          <w:p w:rsidR="00CE7B94" w:rsidRDefault="00CE7B94" w:rsidP="009962E7">
            <w:pPr>
              <w:ind w:left="62" w:right="62" w:firstLine="100"/>
              <w:rPr>
                <w:rFonts w:ascii="Tahoma" w:hAnsi="Tahoma" w:cs="Tahoma"/>
                <w:snapToGrid w:val="0"/>
                <w:sz w:val="18"/>
                <w:szCs w:val="18"/>
              </w:rPr>
            </w:pPr>
            <w:r>
              <w:rPr>
                <w:rFonts w:ascii="Tahoma" w:hAnsi="Tahoma" w:cs="Tahoma"/>
                <w:snapToGrid w:val="0"/>
                <w:sz w:val="18"/>
                <w:szCs w:val="18"/>
              </w:rPr>
              <w:t>Index-szám:016-026-00-0</w:t>
            </w:r>
          </w:p>
        </w:tc>
        <w:tc>
          <w:tcPr>
            <w:tcW w:w="1417" w:type="dxa"/>
            <w:vAlign w:val="center"/>
          </w:tcPr>
          <w:p w:rsidR="00CE7B94" w:rsidRDefault="00CE7B94" w:rsidP="00903A13">
            <w:pPr>
              <w:ind w:right="62"/>
              <w:jc w:val="center"/>
              <w:rPr>
                <w:rFonts w:ascii="Tahoma" w:hAnsi="Tahoma" w:cs="Tahoma"/>
                <w:snapToGrid w:val="0"/>
                <w:sz w:val="18"/>
                <w:szCs w:val="18"/>
              </w:rPr>
            </w:pPr>
            <w:r>
              <w:rPr>
                <w:rFonts w:ascii="Tahoma" w:hAnsi="Tahoma" w:cs="Tahoma"/>
                <w:snapToGrid w:val="0"/>
                <w:sz w:val="18"/>
                <w:szCs w:val="18"/>
              </w:rPr>
              <w:t>5 – &lt;10%</w:t>
            </w:r>
          </w:p>
        </w:tc>
        <w:tc>
          <w:tcPr>
            <w:tcW w:w="3270" w:type="dxa"/>
            <w:vAlign w:val="center"/>
          </w:tcPr>
          <w:p w:rsidR="00CE7B94" w:rsidRDefault="00CE7B94" w:rsidP="00EA67AC">
            <w:pPr>
              <w:spacing w:before="20"/>
              <w:ind w:left="148" w:right="62" w:hanging="25"/>
              <w:rPr>
                <w:rFonts w:ascii="Tahoma" w:hAnsi="Tahoma" w:cs="Tahoma"/>
                <w:snapToGrid w:val="0"/>
                <w:sz w:val="18"/>
                <w:szCs w:val="18"/>
              </w:rPr>
            </w:pPr>
            <w:r>
              <w:rPr>
                <w:rFonts w:ascii="Tahoma" w:hAnsi="Tahoma" w:cs="Tahoma"/>
                <w:snapToGrid w:val="0"/>
                <w:sz w:val="18"/>
                <w:szCs w:val="18"/>
              </w:rPr>
              <w:t>Skin Irrit. 2, H315; Eye Irrit. 2, H319; Aquatic Chronic 3, H412</w:t>
            </w:r>
          </w:p>
        </w:tc>
      </w:tr>
      <w:tr w:rsidR="00CE7B94" w:rsidRPr="0059199F">
        <w:trPr>
          <w:cantSplit/>
          <w:trHeight w:val="335"/>
          <w:jc w:val="center"/>
        </w:trPr>
        <w:tc>
          <w:tcPr>
            <w:tcW w:w="4111" w:type="dxa"/>
            <w:vAlign w:val="center"/>
          </w:tcPr>
          <w:p w:rsidR="00CE7B94" w:rsidRDefault="00CE7B94"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r>
              <w:rPr>
                <w:rStyle w:val="FootnoteReference"/>
                <w:rFonts w:ascii="Tahoma" w:hAnsi="Tahoma" w:cs="Tahoma"/>
                <w:sz w:val="18"/>
                <w:szCs w:val="18"/>
              </w:rPr>
              <w:footnoteReference w:id="3"/>
            </w:r>
          </w:p>
          <w:p w:rsidR="00CE7B94" w:rsidRPr="0059199F" w:rsidRDefault="00CE7B94"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CE7B94" w:rsidRDefault="00CE7B94" w:rsidP="00B5250F">
            <w:pPr>
              <w:ind w:left="61" w:right="62"/>
              <w:jc w:val="center"/>
              <w:rPr>
                <w:rFonts w:ascii="Tahoma" w:hAnsi="Tahoma" w:cs="Tahoma"/>
                <w:snapToGrid w:val="0"/>
                <w:sz w:val="18"/>
                <w:szCs w:val="18"/>
              </w:rPr>
            </w:pPr>
            <w:r>
              <w:rPr>
                <w:rFonts w:ascii="Tahoma" w:hAnsi="Tahoma" w:cs="Tahoma"/>
                <w:snapToGrid w:val="0"/>
                <w:sz w:val="18"/>
                <w:szCs w:val="18"/>
              </w:rPr>
              <w:t>&lt;1%</w:t>
            </w:r>
          </w:p>
        </w:tc>
        <w:tc>
          <w:tcPr>
            <w:tcW w:w="3270" w:type="dxa"/>
            <w:vAlign w:val="center"/>
          </w:tcPr>
          <w:p w:rsidR="00CE7B94" w:rsidRDefault="00CE7B94"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CE7B94" w:rsidRDefault="00CE7B94"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CE7B94" w:rsidRDefault="00CE7B94" w:rsidP="00A1655E">
            <w:pPr>
              <w:tabs>
                <w:tab w:val="left" w:pos="650"/>
              </w:tabs>
              <w:spacing w:after="6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CE7B94" w:rsidRDefault="00CE7B94" w:rsidP="008C1723">
      <w:pPr>
        <w:pStyle w:val="BodyTextIndent"/>
        <w:spacing w:before="120"/>
        <w:ind w:left="0"/>
      </w:pPr>
      <w:r w:rsidRPr="00CC1500">
        <w:t>A gyártó más veszélyes összetevő jelenlétét nem jelzi</w:t>
      </w:r>
      <w:r>
        <w:t xml:space="preserve">. </w:t>
      </w:r>
    </w:p>
    <w:p w:rsidR="00CE7B94" w:rsidRDefault="00CE7B94" w:rsidP="00EA67AC">
      <w:pPr>
        <w:pStyle w:val="BodyTextIndent"/>
        <w:spacing w:before="0"/>
        <w:ind w:left="0"/>
      </w:pPr>
      <w:r>
        <w:t xml:space="preserve">Az </w:t>
      </w:r>
      <w:r w:rsidRPr="00CC1500">
        <w:t>egyéb összetevő</w:t>
      </w:r>
      <w:r>
        <w:t>k (színezék, korróziós inhibitor, víz, stb.)</w:t>
      </w:r>
      <w:r w:rsidRPr="00CC1500">
        <w:t xml:space="preserve"> </w:t>
      </w:r>
      <w:r>
        <w:t>n</w:t>
      </w:r>
      <w:r w:rsidRPr="00CC1500">
        <w:t>em tekinthetők a hatályos jogszabályok szerint veszélyes anyagnak vagy koncentrációjuk a termékben nem éri el azt a mértéket, amely fölött jelenlét</w:t>
      </w:r>
      <w:r>
        <w:t>üket</w:t>
      </w:r>
      <w:r w:rsidRPr="00CC1500">
        <w:t xml:space="preserve"> a veszélyesség szerinti besorolásnál fel kell tüntetni, ill</w:t>
      </w:r>
      <w:r>
        <w:t>.</w:t>
      </w:r>
      <w:r w:rsidRPr="00CC1500">
        <w:t xml:space="preserve"> figyelembe kell venni.</w:t>
      </w:r>
    </w:p>
    <w:p w:rsidR="00CE7B94" w:rsidRPr="00B71939" w:rsidRDefault="00CE7B94"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CE7B94" w:rsidRPr="005840A9" w:rsidRDefault="00CE7B94"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CE7B94" w:rsidRPr="005840A9" w:rsidRDefault="00CE7B94" w:rsidP="005D6C4F">
      <w:pPr>
        <w:pStyle w:val="BodyTextIndent"/>
        <w:spacing w:before="40"/>
        <w:ind w:left="0"/>
        <w:rPr>
          <w:b/>
          <w:bCs/>
        </w:rPr>
      </w:pPr>
      <w:r w:rsidRPr="005840A9">
        <w:rPr>
          <w:b/>
          <w:bCs/>
        </w:rPr>
        <w:t>4.1. Az elsősegély-nyújtási intézkedések ismertetése</w:t>
      </w:r>
    </w:p>
    <w:p w:rsidR="00CE7B94" w:rsidRDefault="00CE7B94" w:rsidP="005D6C4F">
      <w:pPr>
        <w:pStyle w:val="BodyTextIndent"/>
        <w:spacing w:before="40"/>
        <w:ind w:left="0"/>
      </w:pPr>
      <w:r w:rsidRPr="001451C7">
        <w:rPr>
          <w:b/>
          <w:bCs/>
        </w:rPr>
        <w:t>Belélegzés esetén:</w:t>
      </w:r>
      <w:r w:rsidRPr="001451C7">
        <w:t xml:space="preserve"> </w:t>
      </w:r>
      <w:r>
        <w:t>a</w:t>
      </w:r>
      <w:r w:rsidRPr="001451C7">
        <w:t xml:space="preserve"> sérültet friss levegőre kell vinni</w:t>
      </w:r>
      <w:r>
        <w:t>, várhatóan nem igényel elsősegély-nyújtást.</w:t>
      </w:r>
    </w:p>
    <w:p w:rsidR="00CE7B94" w:rsidRDefault="00CE7B94"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CE7B94" w:rsidRPr="001451C7" w:rsidRDefault="00CE7B94"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CE7B94" w:rsidRDefault="00CE7B94"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CE7B94" w:rsidRPr="001C77FE" w:rsidRDefault="00CE7B94"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CE7B94" w:rsidRDefault="00CE7B94"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p>
    <w:p w:rsidR="00CE7B94" w:rsidRPr="00430026" w:rsidRDefault="00CE7B94" w:rsidP="005D6C4F">
      <w:pPr>
        <w:pStyle w:val="BodyTextIndent"/>
        <w:spacing w:before="40"/>
        <w:ind w:left="0"/>
      </w:pPr>
      <w:r>
        <w:rPr>
          <w:b/>
          <w:bCs/>
        </w:rPr>
        <w:t>M</w:t>
      </w:r>
      <w:r w:rsidRPr="00430026">
        <w:rPr>
          <w:b/>
          <w:bCs/>
        </w:rPr>
        <w:t>egjegyzés az orvos számára:</w:t>
      </w:r>
      <w:r w:rsidRPr="00430026">
        <w:t xml:space="preserve"> </w:t>
      </w:r>
      <w:r>
        <w:t>k</w:t>
      </w:r>
      <w:r w:rsidRPr="00430026">
        <w:t>ezeljen a tüneteknek megfelelően.</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CE7B94" w:rsidRDefault="00CE7B94"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w:t>
      </w:r>
    </w:p>
    <w:p w:rsidR="00CE7B94" w:rsidRPr="005717D0" w:rsidRDefault="00CE7B94" w:rsidP="005D6C4F">
      <w:pPr>
        <w:tabs>
          <w:tab w:val="left" w:pos="2400"/>
        </w:tabs>
        <w:jc w:val="both"/>
        <w:rPr>
          <w:rFonts w:ascii="Tahoma" w:hAnsi="Tahoma" w:cs="Tahoma"/>
          <w:snapToGrid w:val="0"/>
        </w:rPr>
      </w:pPr>
      <w:r w:rsidRPr="005717D0">
        <w:rPr>
          <w:rFonts w:ascii="Tahoma" w:hAnsi="Tahoma" w:cs="Tahoma"/>
          <w:snapToGrid w:val="0"/>
        </w:rPr>
        <w:t>A környezetben égő anyagok alapján kell meghatározni.</w:t>
      </w:r>
    </w:p>
    <w:p w:rsidR="00CE7B94" w:rsidRPr="0014339B" w:rsidRDefault="00CE7B94"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CE7B94" w:rsidRDefault="00CE7B94"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szulfaminsav hevítése, illetve égése, bomlása során mérgező, maró hatású gázok (nitrogén-oxidok, kén-oxidok, ammónia) képződhetnek.</w:t>
      </w:r>
    </w:p>
    <w:p w:rsidR="00CE7B94" w:rsidRPr="0014339B" w:rsidRDefault="00CE7B94"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CE7B94" w:rsidRPr="00A254C1" w:rsidRDefault="00CE7B94" w:rsidP="005D6C4F">
      <w:pPr>
        <w:spacing w:before="60"/>
        <w:jc w:val="both"/>
        <w:rPr>
          <w:rFonts w:ascii="Tahoma" w:hAnsi="Tahoma" w:cs="Tahoma"/>
          <w:snapToGrid w:val="0"/>
        </w:rPr>
      </w:pPr>
      <w:r>
        <w:rPr>
          <w:rFonts w:ascii="Tahoma" w:hAnsi="Tahoma" w:cs="Tahoma"/>
          <w:b/>
          <w:bCs/>
          <w:snapToGrid w:val="0"/>
        </w:rPr>
        <w:t xml:space="preserve">5.4. </w:t>
      </w: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de éghető. </w:t>
      </w:r>
    </w:p>
    <w:p w:rsidR="00CE7B94" w:rsidRDefault="00CE7B9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CE7B94" w:rsidRPr="00A37543" w:rsidRDefault="00CE7B94"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w:t>
      </w:r>
      <w:r>
        <w:rPr>
          <w:rFonts w:ascii="Tahoma" w:hAnsi="Tahoma" w:cs="Tahoma"/>
          <w:snapToGrid w:val="0"/>
        </w:rPr>
        <w:t xml:space="preserve">sználjuk védőkesztyűt a mentesítéskor, amennyiben </w:t>
      </w:r>
      <w:r w:rsidRPr="00A37543">
        <w:rPr>
          <w:rFonts w:ascii="Tahoma" w:hAnsi="Tahoma" w:cs="Tahoma"/>
          <w:snapToGrid w:val="0"/>
        </w:rPr>
        <w:t>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is szükséges.</w:t>
      </w:r>
    </w:p>
    <w:p w:rsidR="00CE7B94" w:rsidRPr="00CB1156" w:rsidRDefault="00CE7B94"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CE7B94" w:rsidRDefault="00CE7B94"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CE7B94" w:rsidRDefault="00CE7B94"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CE7B94" w:rsidRPr="0014339B" w:rsidRDefault="00CE7B94"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CE7B94" w:rsidRDefault="00CE7B94"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CE7B94" w:rsidRPr="000E1DD2" w:rsidRDefault="00CE7B94"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aktív klórtartalmú oldatokkal történő érintkezését! Kerüljük el a termékkel történő expozíciót!</w:t>
      </w:r>
    </w:p>
    <w:p w:rsidR="00CE7B94" w:rsidRPr="00293D58" w:rsidRDefault="00CE7B94" w:rsidP="005D6C4F">
      <w:pPr>
        <w:pStyle w:val="BodyTextIndent"/>
        <w:ind w:left="0"/>
      </w:pPr>
      <w:r w:rsidRPr="008D5244">
        <w:rPr>
          <w:b/>
          <w:bCs/>
        </w:rPr>
        <w:t>Tűz- és robbanásvédelem:</w:t>
      </w:r>
      <w:r w:rsidRPr="008D5244">
        <w:t xml:space="preserve"> speciális intézkedés nem szükséges.</w:t>
      </w:r>
    </w:p>
    <w:p w:rsidR="00CE7B94" w:rsidRPr="0014339B" w:rsidRDefault="00CE7B94" w:rsidP="005D6C4F">
      <w:pPr>
        <w:pStyle w:val="BodyTextIndent"/>
        <w:ind w:left="0"/>
        <w:rPr>
          <w:b/>
          <w:bCs/>
        </w:rPr>
      </w:pPr>
      <w:r w:rsidRPr="0014339B">
        <w:rPr>
          <w:b/>
          <w:bCs/>
        </w:rPr>
        <w:t>7.2. A biztonságos tárolás feltételei, az esetleges összeférhetetlenséggel együtt</w:t>
      </w:r>
    </w:p>
    <w:p w:rsidR="00CE7B94" w:rsidRDefault="00CE7B94" w:rsidP="005D6C4F">
      <w:pPr>
        <w:jc w:val="both"/>
        <w:rPr>
          <w:rFonts w:ascii="Tahoma" w:hAnsi="Tahoma" w:cs="Tahoma"/>
        </w:rPr>
      </w:pPr>
      <w:r>
        <w:rPr>
          <w:rFonts w:ascii="Tahoma" w:hAnsi="Tahoma" w:cs="Tahoma"/>
        </w:rPr>
        <w:t>Lúgoktól, hipo-oldatoktól távol tartandó!</w:t>
      </w:r>
    </w:p>
    <w:p w:rsidR="00CE7B94" w:rsidRDefault="00CE7B94" w:rsidP="005D6C4F">
      <w:pPr>
        <w:jc w:val="both"/>
        <w:rPr>
          <w:rFonts w:ascii="Tahoma" w:hAnsi="Tahoma" w:cs="Tahoma"/>
        </w:rPr>
      </w:pPr>
      <w:r w:rsidRPr="000E1DD2">
        <w:rPr>
          <w:rFonts w:ascii="Tahoma" w:hAnsi="Tahoma" w:cs="Tahoma"/>
        </w:rPr>
        <w:t>Gyermekek kezébe nem kerülhet</w:t>
      </w:r>
      <w:r>
        <w:rPr>
          <w:rFonts w:ascii="Tahoma" w:hAnsi="Tahoma" w:cs="Tahoma"/>
        </w:rPr>
        <w:t>!</w:t>
      </w:r>
    </w:p>
    <w:p w:rsidR="00CE7B94" w:rsidRPr="000E1DD2" w:rsidRDefault="00CE7B94" w:rsidP="005D6C4F">
      <w:pPr>
        <w:jc w:val="both"/>
        <w:rPr>
          <w:rFonts w:ascii="Tahoma" w:hAnsi="Tahoma" w:cs="Tahoma"/>
        </w:rPr>
      </w:pPr>
      <w:r>
        <w:rPr>
          <w:rFonts w:ascii="Tahoma" w:hAnsi="Tahoma" w:cs="Tahoma"/>
        </w:rPr>
        <w:t>Ajánlott tárolási hőmérséklet: +5°C felett.</w:t>
      </w:r>
    </w:p>
    <w:p w:rsidR="00CE7B94" w:rsidRDefault="00CE7B94"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CE7B94" w:rsidRPr="0014339B" w:rsidRDefault="00CE7B94"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CE7B94" w:rsidRDefault="00CE7B94" w:rsidP="00845210">
      <w:pPr>
        <w:pStyle w:val="BodyTextIndent"/>
        <w:ind w:left="0"/>
        <w:rPr>
          <w:b/>
          <w:bCs/>
        </w:rPr>
      </w:pPr>
      <w:r w:rsidRPr="00755B18">
        <w:rPr>
          <w:b/>
          <w:bCs/>
        </w:rPr>
        <w:t>8.1. Ellenőrzési paraméterek</w:t>
      </w:r>
    </w:p>
    <w:p w:rsidR="00CE7B94" w:rsidRDefault="00CE7B94"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 volna a munkahelyi levegőben.</w:t>
      </w:r>
    </w:p>
    <w:p w:rsidR="00CE7B94" w:rsidRPr="007E7BF3" w:rsidRDefault="00CE7B94" w:rsidP="00EA67AC">
      <w:pPr>
        <w:pStyle w:val="BodyTextIndent"/>
        <w:ind w:left="0"/>
        <w:rPr>
          <w:b/>
          <w:bCs/>
        </w:rPr>
      </w:pPr>
      <w:r w:rsidRPr="007E7BF3">
        <w:rPr>
          <w:b/>
          <w:bCs/>
        </w:rPr>
        <w:t>Szulfaminsav</w:t>
      </w:r>
      <w:r>
        <w:rPr>
          <w:b/>
          <w:bCs/>
        </w:rPr>
        <w:t>ra vonatkozó DNEL</w:t>
      </w:r>
      <w:r>
        <w:rPr>
          <w:rStyle w:val="FootnoteReference"/>
          <w:color w:val="000000"/>
        </w:rPr>
        <w:footnoteReference w:id="4"/>
      </w:r>
      <w:r>
        <w:rPr>
          <w:b/>
          <w:bCs/>
        </w:rPr>
        <w:t xml:space="preserve"> értékek</w:t>
      </w:r>
    </w:p>
    <w:p w:rsidR="00CE7B94" w:rsidRDefault="00CE7B94" w:rsidP="00EA67AC">
      <w:pPr>
        <w:autoSpaceDE w:val="0"/>
        <w:autoSpaceDN w:val="0"/>
        <w:adjustRightInd w:val="0"/>
        <w:rPr>
          <w:rFonts w:ascii="Tahoma" w:hAnsi="Tahoma" w:cs="Tahoma"/>
          <w:color w:val="000000"/>
        </w:rPr>
      </w:pPr>
      <w:r w:rsidRPr="00AD2F48">
        <w:rPr>
          <w:rFonts w:ascii="Tahoma" w:hAnsi="Tahoma" w:cs="Tahoma"/>
          <w:color w:val="000000"/>
        </w:rPr>
        <w:t xml:space="preserve">DNEL: </w:t>
      </w:r>
      <w:r>
        <w:rPr>
          <w:rFonts w:ascii="Tahoma" w:hAnsi="Tahoma" w:cs="Tahoma"/>
          <w:color w:val="000000"/>
        </w:rPr>
        <w:t>70,5</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CE7B94" w:rsidRPr="008A684B" w:rsidRDefault="00CE7B94"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CE7B94" w:rsidRDefault="00CE7B94"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 xml:space="preserve">DNEL: </w:t>
      </w:r>
      <w:r>
        <w:rPr>
          <w:rFonts w:ascii="Tahoma" w:hAnsi="Tahoma" w:cs="Tahoma"/>
          <w:color w:val="000000"/>
        </w:rPr>
        <w:t>10</w:t>
      </w:r>
      <w:r w:rsidRPr="00AD2F48">
        <w:rPr>
          <w:rFonts w:ascii="Tahoma" w:hAnsi="Tahoma" w:cs="Tahoma"/>
          <w:color w:val="000000"/>
        </w:rPr>
        <w:t xml:space="preserve"> mg/</w:t>
      </w:r>
      <w:r>
        <w:rPr>
          <w:rFonts w:ascii="Tahoma" w:hAnsi="Tahoma" w:cs="Tahoma"/>
          <w:color w:val="000000"/>
        </w:rPr>
        <w:t>ttkg/nap</w:t>
      </w:r>
    </w:p>
    <w:p w:rsidR="00CE7B94" w:rsidRPr="008A684B" w:rsidRDefault="00CE7B94"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dermális expozíció, foglalkozásszerű felhasználó)</w:t>
      </w:r>
    </w:p>
    <w:p w:rsidR="00CE7B94" w:rsidRDefault="00CE7B94" w:rsidP="00FD3178">
      <w:pPr>
        <w:autoSpaceDE w:val="0"/>
        <w:autoSpaceDN w:val="0"/>
        <w:adjustRightInd w:val="0"/>
        <w:spacing w:before="40"/>
        <w:rPr>
          <w:rFonts w:ascii="Tahoma" w:hAnsi="Tahoma" w:cs="Tahoma"/>
          <w:color w:val="000000"/>
        </w:rPr>
      </w:pPr>
      <w:r w:rsidRPr="00AD2F48">
        <w:rPr>
          <w:rFonts w:ascii="Tahoma" w:hAnsi="Tahoma" w:cs="Tahoma"/>
          <w:color w:val="000000"/>
        </w:rPr>
        <w:t xml:space="preserve">DNEL: </w:t>
      </w:r>
      <w:r>
        <w:rPr>
          <w:rFonts w:ascii="Tahoma" w:hAnsi="Tahoma" w:cs="Tahoma"/>
          <w:color w:val="000000"/>
        </w:rPr>
        <w:t>17,4</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CE7B94" w:rsidRPr="008A684B" w:rsidRDefault="00CE7B94"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CE7B94" w:rsidRDefault="00CE7B94"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CE7B94" w:rsidRPr="008A684B" w:rsidRDefault="00CE7B94"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hosszú távú, dermális expozíció, lakossági felhasználó)</w:t>
      </w:r>
    </w:p>
    <w:p w:rsidR="00CE7B94" w:rsidRDefault="00CE7B94" w:rsidP="00FD3178">
      <w:pPr>
        <w:autoSpaceDE w:val="0"/>
        <w:autoSpaceDN w:val="0"/>
        <w:adjustRightInd w:val="0"/>
        <w:spacing w:before="40"/>
        <w:rPr>
          <w:rFonts w:ascii="Tahoma" w:hAnsi="Tahoma" w:cs="Tahoma"/>
          <w:color w:val="000000"/>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CE7B94" w:rsidRPr="008A684B" w:rsidRDefault="00CE7B94" w:rsidP="00EA67AC">
      <w:pPr>
        <w:autoSpaceDE w:val="0"/>
        <w:autoSpaceDN w:val="0"/>
        <w:adjustRightInd w:val="0"/>
        <w:rPr>
          <w:rFonts w:ascii="Tahoma" w:hAnsi="Tahoma" w:cs="Tahoma"/>
          <w:color w:val="000000"/>
          <w:sz w:val="18"/>
          <w:szCs w:val="18"/>
        </w:rPr>
      </w:pPr>
      <w:r w:rsidRPr="008A684B">
        <w:rPr>
          <w:rFonts w:ascii="Tahoma" w:hAnsi="Tahoma" w:cs="Tahoma"/>
          <w:color w:val="000000"/>
          <w:position w:val="8"/>
          <w:sz w:val="18"/>
          <w:szCs w:val="18"/>
          <w:vertAlign w:val="superscript"/>
        </w:rPr>
        <w:t xml:space="preserve"> </w:t>
      </w:r>
      <w:r w:rsidRPr="008A684B">
        <w:rPr>
          <w:rFonts w:ascii="Tahoma" w:hAnsi="Tahoma" w:cs="Tahoma"/>
          <w:color w:val="000000"/>
          <w:sz w:val="18"/>
          <w:szCs w:val="18"/>
        </w:rPr>
        <w:t>(szisztémás hatás, hosszú távú, orális expozíció, lakossági felhasználó)</w:t>
      </w:r>
    </w:p>
    <w:p w:rsidR="00CE7B94" w:rsidRPr="00E13DFC" w:rsidRDefault="00CE7B94" w:rsidP="008A684B">
      <w:pPr>
        <w:pStyle w:val="FootnoteText"/>
        <w:tabs>
          <w:tab w:val="left" w:pos="142"/>
          <w:tab w:val="left" w:pos="567"/>
        </w:tabs>
        <w:autoSpaceDE w:val="0"/>
        <w:autoSpaceDN w:val="0"/>
        <w:adjustRightInd w:val="0"/>
        <w:spacing w:before="120"/>
        <w:rPr>
          <w:rFonts w:ascii="Tahoma" w:hAnsi="Tahoma" w:cs="Tahoma"/>
        </w:rPr>
      </w:pPr>
      <w:r w:rsidRPr="00E13DFC">
        <w:rPr>
          <w:rFonts w:ascii="Tahoma" w:hAnsi="Tahoma" w:cs="Tahoma"/>
        </w:rPr>
        <w:t xml:space="preserve">Egyéb DNEL, </w:t>
      </w:r>
      <w:r>
        <w:rPr>
          <w:rFonts w:ascii="Tahoma" w:hAnsi="Tahoma" w:cs="Tahoma"/>
        </w:rPr>
        <w:t xml:space="preserve">illetve </w:t>
      </w:r>
      <w:r w:rsidRPr="00E13DFC">
        <w:rPr>
          <w:rFonts w:ascii="Tahoma" w:hAnsi="Tahoma" w:cs="Tahoma"/>
        </w:rPr>
        <w:t>PNEC</w:t>
      </w:r>
      <w:r>
        <w:rPr>
          <w:rStyle w:val="FootnoteReference"/>
        </w:rPr>
        <w:footnoteReference w:id="5"/>
      </w:r>
      <w:r>
        <w:rPr>
          <w:rFonts w:ascii="Tahoma" w:hAnsi="Tahoma" w:cs="Tahoma"/>
        </w:rPr>
        <w:t xml:space="preserve"> értékek</w:t>
      </w:r>
      <w:r w:rsidRPr="00E13DFC">
        <w:rPr>
          <w:rFonts w:ascii="Tahoma" w:hAnsi="Tahoma" w:cs="Tahoma"/>
        </w:rPr>
        <w:t xml:space="preserve"> nem állnak rendelkezésre.</w:t>
      </w:r>
    </w:p>
    <w:p w:rsidR="00CE7B94" w:rsidRDefault="00CE7B94" w:rsidP="00867F7E">
      <w:pPr>
        <w:pStyle w:val="BodyTextIndent"/>
        <w:spacing w:before="120"/>
        <w:ind w:left="0"/>
        <w:rPr>
          <w:b/>
          <w:bCs/>
        </w:rPr>
      </w:pPr>
      <w:r>
        <w:rPr>
          <w:b/>
          <w:bCs/>
        </w:rPr>
        <w:t>8.2. Az expozíció ellenőrzése</w:t>
      </w:r>
    </w:p>
    <w:p w:rsidR="00CE7B94" w:rsidRPr="00C50EC1" w:rsidRDefault="00CE7B94" w:rsidP="008A684B">
      <w:pPr>
        <w:pStyle w:val="BodyTextIndent"/>
        <w:spacing w:before="0"/>
        <w:ind w:left="0"/>
      </w:pPr>
      <w:r>
        <w:t xml:space="preserve">A termék használata során be kell tartani a vegyi anyagokkal folytatott tevékenységek általános biztonsági és higiénés előírásait. </w:t>
      </w:r>
      <w:r w:rsidRPr="00C50EC1">
        <w:t>Körültekintően végzett munkával meg kell előzni a termék bőrre-, szembejutását! Nyálkahártyára, nyílt sebre ne kerüljön!</w:t>
      </w:r>
    </w:p>
    <w:p w:rsidR="00CE7B94" w:rsidRDefault="00CE7B94" w:rsidP="00A2200F">
      <w:pPr>
        <w:pStyle w:val="BodyTextIndent"/>
        <w:spacing w:before="40"/>
        <w:ind w:left="0"/>
      </w:pPr>
      <w:r>
        <w:rPr>
          <w:b/>
          <w:bCs/>
        </w:rPr>
        <w:t xml:space="preserve">Műszaki intézkedés: </w:t>
      </w:r>
      <w:r>
        <w:t>nem szükséges.</w:t>
      </w:r>
    </w:p>
    <w:p w:rsidR="00CE7B94" w:rsidRDefault="00CE7B94" w:rsidP="00A2200F">
      <w:pPr>
        <w:pStyle w:val="BodyTextIndent"/>
        <w:spacing w:before="40"/>
        <w:ind w:left="0"/>
      </w:pPr>
      <w:r>
        <w:rPr>
          <w:b/>
          <w:bCs/>
        </w:rPr>
        <w:t xml:space="preserve">Higiéniai intézkedések: </w:t>
      </w:r>
      <w:r>
        <w:t>tartsuk távol élelmiszerektől, italoktól és takarmányoktól. Használata után kézmosás ajánlott.</w:t>
      </w:r>
    </w:p>
    <w:p w:rsidR="00CE7B94" w:rsidRDefault="00CE7B94" w:rsidP="002019A6">
      <w:pPr>
        <w:pStyle w:val="BodyTextIndent"/>
        <w:pageBreakBefore/>
        <w:spacing w:before="40"/>
        <w:ind w:left="0"/>
        <w:rPr>
          <w:b/>
          <w:bCs/>
        </w:rPr>
      </w:pPr>
      <w:r w:rsidRPr="00CA2702">
        <w:rPr>
          <w:b/>
          <w:bCs/>
        </w:rPr>
        <w:t>Személyi védőfelszerelések</w:t>
      </w:r>
      <w:r>
        <w:rPr>
          <w:b/>
          <w:bCs/>
        </w:rPr>
        <w:t>:</w:t>
      </w:r>
    </w:p>
    <w:p w:rsidR="00CE7B94" w:rsidRDefault="00CE7B94" w:rsidP="00B12268">
      <w:pPr>
        <w:pStyle w:val="BodyTextIndent"/>
        <w:numPr>
          <w:ilvl w:val="0"/>
          <w:numId w:val="36"/>
        </w:numPr>
        <w:tabs>
          <w:tab w:val="clear" w:pos="1701"/>
        </w:tabs>
        <w:spacing w:before="0"/>
        <w:ind w:left="709" w:hanging="283"/>
      </w:pPr>
      <w:r w:rsidRPr="00874D02">
        <w:rPr>
          <w:b/>
          <w:bCs/>
        </w:rPr>
        <w:t>Légutak védelme:</w:t>
      </w:r>
      <w:r w:rsidRPr="00874D02">
        <w:t xml:space="preserve"> nem szükséges</w:t>
      </w:r>
      <w:r>
        <w:t>.</w:t>
      </w:r>
    </w:p>
    <w:p w:rsidR="00CE7B94" w:rsidRPr="00CA2702" w:rsidRDefault="00CE7B94" w:rsidP="00B12268">
      <w:pPr>
        <w:pStyle w:val="BodyTextIndent"/>
        <w:numPr>
          <w:ilvl w:val="0"/>
          <w:numId w:val="36"/>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CE7B94" w:rsidRPr="00B12268" w:rsidRDefault="00CE7B94" w:rsidP="00B12268">
      <w:pPr>
        <w:pStyle w:val="BodyTextIndent"/>
        <w:numPr>
          <w:ilvl w:val="0"/>
          <w:numId w:val="36"/>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CE7B94" w:rsidRDefault="00CE7B9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CE7B94" w:rsidRDefault="00CE7B94"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CE7B94" w:rsidRDefault="00CE7B94"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CE7B94" w:rsidRDefault="00CE7B94"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kék</w:t>
      </w:r>
    </w:p>
    <w:p w:rsidR="00CE7B94" w:rsidRDefault="00CE7B94"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a termékre jellemző, illatosított</w:t>
      </w:r>
    </w:p>
    <w:p w:rsidR="00CE7B94" w:rsidRPr="00DE2E56" w:rsidRDefault="00CE7B94"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E7B94" w:rsidRDefault="00CE7B94"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1 – 2 </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jellemző, vizes oldat, kb. &gt;100°C (becsült érték)</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nincs adat</w:t>
      </w:r>
    </w:p>
    <w:p w:rsidR="00CE7B94" w:rsidRPr="00F31477" w:rsidRDefault="00CE7B94"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vízzel korlátlanul elegyedik</w:t>
      </w:r>
    </w:p>
    <w:p w:rsidR="00CE7B94" w:rsidRDefault="00CE7B94"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E7B94" w:rsidRDefault="00CE7B94"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CE7B94" w:rsidRDefault="00CE7B94"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CE7B94" w:rsidRPr="00781269" w:rsidRDefault="00CE7B94"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w:t>
      </w:r>
      <w:r>
        <w:rPr>
          <w:rFonts w:ascii="Tahoma" w:hAnsi="Tahoma" w:cs="Tahoma"/>
          <w:snapToGrid w:val="0"/>
        </w:rPr>
        <w:t xml:space="preserve">erősen savas oldat. Lúggal reagál, aktív klórtartalmú oldatokkal (hipo-oldatok) klórgázt fejleszt. </w:t>
      </w:r>
    </w:p>
    <w:p w:rsidR="00CE7B94" w:rsidRPr="00781269" w:rsidRDefault="00CE7B94"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CE7B94" w:rsidRPr="00781269" w:rsidRDefault="00CE7B94"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CE7B94" w:rsidRPr="00781269" w:rsidRDefault="00CE7B94"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Pr>
          <w:rFonts w:ascii="Tahoma" w:hAnsi="Tahoma" w:cs="Tahoma"/>
          <w:snapToGrid w:val="0"/>
        </w:rPr>
        <w:t>hőhatás, fagy; érintkezés lúgokkal, hipoklorit-oldatokkal.</w:t>
      </w:r>
    </w:p>
    <w:p w:rsidR="00CE7B94" w:rsidRPr="00781269" w:rsidRDefault="00CE7B94"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CE7B94" w:rsidRDefault="00CE7B94"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 xml:space="preserve">célzott vizsgálatok nem történtek. </w:t>
      </w:r>
    </w:p>
    <w:p w:rsidR="00CE7B94" w:rsidRPr="002019A6" w:rsidRDefault="00CE7B94" w:rsidP="00B5250F">
      <w:pPr>
        <w:pStyle w:val="BodyTextIndent"/>
        <w:spacing w:before="40"/>
        <w:ind w:left="0"/>
      </w:pPr>
      <w:r w:rsidRPr="002019A6">
        <w:rPr>
          <w:b/>
          <w:bCs/>
        </w:rPr>
        <w:t xml:space="preserve">Akut toxicitás: </w:t>
      </w:r>
      <w:r w:rsidRPr="002019A6">
        <w:t xml:space="preserve">a termék </w:t>
      </w:r>
      <w:r>
        <w:t xml:space="preserve">a becsült ATE értékek alapján </w:t>
      </w:r>
      <w:r w:rsidRPr="002019A6">
        <w:t xml:space="preserve">nem osztályozandó lenyelve, bőrön át felszívódva, belélegezve ártalmas keveréknek. </w:t>
      </w:r>
    </w:p>
    <w:p w:rsidR="00CE7B94" w:rsidRPr="002019A6" w:rsidRDefault="00CE7B94" w:rsidP="00B5250F">
      <w:pPr>
        <w:autoSpaceDE w:val="0"/>
        <w:autoSpaceDN w:val="0"/>
        <w:adjustRightInd w:val="0"/>
        <w:spacing w:before="40"/>
        <w:jc w:val="both"/>
        <w:rPr>
          <w:rFonts w:ascii="Tahoma" w:hAnsi="Tahoma" w:cs="Tahoma"/>
        </w:rPr>
      </w:pPr>
      <w:r w:rsidRPr="002019A6">
        <w:rPr>
          <w:rFonts w:ascii="Tahoma" w:hAnsi="Tahoma" w:cs="Tahoma"/>
          <w:b/>
          <w:bCs/>
        </w:rPr>
        <w:t xml:space="preserve">Bőrmarás/bőrirritáció: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Skin Irrit. 2 veszélyességi osztályba soroljuk. </w:t>
      </w:r>
    </w:p>
    <w:p w:rsidR="00CE7B94" w:rsidRPr="002019A6" w:rsidRDefault="00CE7B94" w:rsidP="00EA67AC">
      <w:pPr>
        <w:autoSpaceDE w:val="0"/>
        <w:autoSpaceDN w:val="0"/>
        <w:adjustRightInd w:val="0"/>
        <w:spacing w:before="40"/>
        <w:jc w:val="both"/>
        <w:rPr>
          <w:rFonts w:ascii="Tahoma" w:hAnsi="Tahoma" w:cs="Tahoma"/>
        </w:rPr>
      </w:pPr>
      <w:r w:rsidRPr="002019A6">
        <w:rPr>
          <w:rFonts w:ascii="Tahoma" w:hAnsi="Tahoma" w:cs="Tahoma"/>
          <w:b/>
          <w:bCs/>
        </w:rPr>
        <w:t xml:space="preserve">Szemkárosodás/szemirritáció: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Eye Irrit. 2 veszélyességi osztályba soroljuk. </w:t>
      </w:r>
    </w:p>
    <w:p w:rsidR="00CE7B94" w:rsidRPr="002019A6" w:rsidRDefault="00CE7B94" w:rsidP="00B5250F">
      <w:pPr>
        <w:pStyle w:val="BodyTextIndent"/>
        <w:spacing w:before="40"/>
        <w:ind w:left="0"/>
      </w:pPr>
      <w:r w:rsidRPr="002019A6">
        <w:rPr>
          <w:b/>
          <w:bCs/>
        </w:rPr>
        <w:t>Bőr és légúti szenzibilizáció:</w:t>
      </w:r>
      <w:r w:rsidRPr="002019A6">
        <w:t xml:space="preserve"> a rendelkezésre álló adatok alapján az osztályozás kritériumai nem teljesülnek. </w:t>
      </w:r>
    </w:p>
    <w:p w:rsidR="00CE7B94" w:rsidRDefault="00CE7B94"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CE7B94" w:rsidRPr="00335C02" w:rsidRDefault="00CE7B94" w:rsidP="00B5250F">
      <w:pPr>
        <w:pStyle w:val="BodyTextIndent"/>
        <w:spacing w:before="80"/>
        <w:ind w:left="0"/>
      </w:pPr>
      <w:r>
        <w:rPr>
          <w:b/>
          <w:bCs/>
        </w:rPr>
        <w:t xml:space="preserve">Célszervi toxicitás (STOT SE , STOT RE): </w:t>
      </w:r>
      <w:r w:rsidRPr="00335C02">
        <w:t xml:space="preserve">az osztályozás kritériumai nem teljesülnek. </w:t>
      </w:r>
    </w:p>
    <w:p w:rsidR="00CE7B94" w:rsidRDefault="00CE7B94"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CE7B94" w:rsidRDefault="00CE7B94"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CE7B94" w:rsidRDefault="00CE7B94" w:rsidP="005D6C4F">
      <w:pPr>
        <w:pStyle w:val="BodyTextIndent"/>
        <w:spacing w:before="0"/>
        <w:ind w:left="0"/>
      </w:pPr>
      <w:r>
        <w:t xml:space="preserve">A termék nem osztályozandó a környezetre veszélyes keveréknek. </w:t>
      </w:r>
    </w:p>
    <w:p w:rsidR="00CE7B94" w:rsidRDefault="00CE7B94" w:rsidP="00867F7E">
      <w:pPr>
        <w:pStyle w:val="BodyTextIndent"/>
        <w:tabs>
          <w:tab w:val="clear" w:pos="1701"/>
          <w:tab w:val="left" w:pos="1134"/>
          <w:tab w:val="left" w:pos="1560"/>
        </w:tabs>
        <w:spacing w:before="40"/>
        <w:ind w:left="284" w:hanging="284"/>
      </w:pPr>
      <w:r>
        <w:rPr>
          <w:b/>
          <w:bCs/>
        </w:rPr>
        <w:t>Szulfaminsav:</w:t>
      </w:r>
      <w:r>
        <w:rPr>
          <w:b/>
          <w:bCs/>
        </w:rPr>
        <w:tab/>
      </w:r>
      <w:r>
        <w:t>LC</w:t>
      </w:r>
      <w:r>
        <w:rPr>
          <w:vertAlign w:val="subscript"/>
        </w:rPr>
        <w:t>50</w:t>
      </w:r>
      <w:r>
        <w:t xml:space="preserve"> (</w:t>
      </w:r>
      <w:r w:rsidRPr="00546BDB">
        <w:rPr>
          <w:i/>
          <w:iCs/>
        </w:rPr>
        <w:t>Pimephales promelas,</w:t>
      </w:r>
      <w:r>
        <w:t xml:space="preserve"> 96 óra): 70,3mg/l </w:t>
      </w:r>
    </w:p>
    <w:p w:rsidR="00CE7B94" w:rsidRDefault="00CE7B94" w:rsidP="00867F7E">
      <w:pPr>
        <w:tabs>
          <w:tab w:val="left" w:pos="2127"/>
        </w:tabs>
        <w:autoSpaceDE w:val="0"/>
        <w:autoSpaceDN w:val="0"/>
        <w:adjustRightInd w:val="0"/>
        <w:ind w:left="1560"/>
        <w:rPr>
          <w:rFonts w:ascii="Tahoma" w:hAnsi="Tahoma" w:cs="Tahoma"/>
        </w:rPr>
      </w:pPr>
      <w:r>
        <w:rPr>
          <w:rFonts w:ascii="Tahoma" w:hAnsi="Tahoma" w:cs="Tahoma"/>
        </w:rPr>
        <w:t>EC</w:t>
      </w:r>
      <w:r>
        <w:rPr>
          <w:rFonts w:ascii="Tahoma" w:hAnsi="Tahoma" w:cs="Tahoma"/>
          <w:vertAlign w:val="subscript"/>
        </w:rPr>
        <w:t>50</w:t>
      </w:r>
      <w:r>
        <w:rPr>
          <w:rFonts w:ascii="Tahoma" w:hAnsi="Tahoma" w:cs="Tahoma"/>
        </w:rPr>
        <w:t xml:space="preserve"> (</w:t>
      </w:r>
      <w:r>
        <w:rPr>
          <w:rFonts w:ascii="Tahoma" w:hAnsi="Tahoma" w:cs="Tahoma"/>
          <w:i/>
          <w:iCs/>
        </w:rPr>
        <w:t>Dapnia magna</w:t>
      </w:r>
      <w:r>
        <w:rPr>
          <w:rFonts w:ascii="Tahoma" w:hAnsi="Tahoma" w:cs="Tahoma"/>
        </w:rPr>
        <w:t>, 96 óra): 71,6 mg/l</w:t>
      </w:r>
    </w:p>
    <w:p w:rsidR="00CE7B94" w:rsidRPr="00D43194" w:rsidRDefault="00CE7B94" w:rsidP="00867F7E">
      <w:pPr>
        <w:pStyle w:val="Default"/>
        <w:ind w:left="1560"/>
        <w:jc w:val="both"/>
        <w:rPr>
          <w:rFonts w:ascii="Tahoma" w:hAnsi="Tahoma" w:cs="Tahoma"/>
          <w:sz w:val="20"/>
          <w:szCs w:val="20"/>
        </w:rPr>
      </w:pPr>
      <w:r w:rsidRPr="00D43194">
        <w:rPr>
          <w:rFonts w:ascii="Tahoma" w:hAnsi="Tahoma" w:cs="Tahoma"/>
          <w:sz w:val="20"/>
          <w:szCs w:val="20"/>
        </w:rPr>
        <w:t>E</w:t>
      </w:r>
      <w:r w:rsidRPr="00E80630">
        <w:rPr>
          <w:rFonts w:ascii="Tahoma" w:hAnsi="Tahoma" w:cs="Tahoma"/>
          <w:sz w:val="20"/>
          <w:szCs w:val="20"/>
          <w:vertAlign w:val="subscript"/>
        </w:rPr>
        <w:t>r</w:t>
      </w:r>
      <w:r w:rsidRPr="00D43194">
        <w:rPr>
          <w:rFonts w:ascii="Tahoma" w:hAnsi="Tahoma" w:cs="Tahoma"/>
          <w:sz w:val="20"/>
          <w:szCs w:val="20"/>
        </w:rPr>
        <w:t>C</w:t>
      </w:r>
      <w:r w:rsidRPr="00D43194">
        <w:rPr>
          <w:rFonts w:ascii="Tahoma" w:hAnsi="Tahoma" w:cs="Tahoma"/>
          <w:sz w:val="20"/>
          <w:szCs w:val="20"/>
          <w:vertAlign w:val="subscript"/>
        </w:rPr>
        <w:t>50</w:t>
      </w:r>
      <w:r w:rsidRPr="00D43194">
        <w:rPr>
          <w:rFonts w:ascii="Tahoma" w:hAnsi="Tahoma" w:cs="Tahoma"/>
          <w:sz w:val="20"/>
          <w:szCs w:val="20"/>
        </w:rPr>
        <w:t xml:space="preserve"> (</w:t>
      </w:r>
      <w:r w:rsidRPr="00D43194">
        <w:rPr>
          <w:rFonts w:ascii="Tahoma" w:hAnsi="Tahoma" w:cs="Tahoma"/>
          <w:i/>
          <w:iCs/>
          <w:sz w:val="20"/>
          <w:szCs w:val="20"/>
        </w:rPr>
        <w:t xml:space="preserve">Desmodesmus subspicatus, </w:t>
      </w:r>
      <w:r w:rsidRPr="00D43194">
        <w:rPr>
          <w:rFonts w:ascii="Tahoma" w:hAnsi="Tahoma" w:cs="Tahoma"/>
          <w:sz w:val="20"/>
          <w:szCs w:val="20"/>
        </w:rPr>
        <w:t>72 óra): 48 mg/l</w:t>
      </w:r>
    </w:p>
    <w:p w:rsidR="00CE7B94" w:rsidRDefault="00CE7B94"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w:t>
      </w:r>
      <w:r w:rsidRPr="00A70C8D">
        <w:t>Az ezt alátámasztó adatok mindenkor a tagállamok illetékes szerveinek a rendelkezésére állnak, és közvetlen kérésükre vagy a tisztítószer gyártó kérésére megtekinthetők.</w:t>
      </w:r>
      <w:r>
        <w:t xml:space="preserve"> </w:t>
      </w:r>
    </w:p>
    <w:p w:rsidR="00CE7B94" w:rsidRDefault="00CE7B94" w:rsidP="00867F7E">
      <w:pPr>
        <w:pStyle w:val="BodyTextIndent2"/>
        <w:spacing w:before="40"/>
        <w:ind w:left="0"/>
      </w:pPr>
      <w:r w:rsidRPr="00D369CD">
        <w:rPr>
          <w:b/>
          <w:bCs/>
        </w:rPr>
        <w:t>12.3. Bioakkumulációs képesség:</w:t>
      </w:r>
      <w:r w:rsidRPr="00D369CD">
        <w:t xml:space="preserve"> az szulfaminsav logP</w:t>
      </w:r>
      <w:r w:rsidRPr="00D369CD">
        <w:rPr>
          <w:vertAlign w:val="subscript"/>
        </w:rPr>
        <w:t>o/w</w:t>
      </w:r>
      <w:r w:rsidRPr="00D369CD">
        <w:t xml:space="preserve"> értéke: 0,1;</w:t>
      </w:r>
    </w:p>
    <w:p w:rsidR="00CE7B94" w:rsidRPr="00D369CD" w:rsidRDefault="00CE7B94" w:rsidP="00D369CD">
      <w:pPr>
        <w:pStyle w:val="BodyTextIndent2"/>
        <w:ind w:left="0" w:firstLine="3402"/>
      </w:pPr>
      <w:r w:rsidRPr="00D369CD">
        <w:t>az N,N-dimetil-tetradecilamin-N-oxid logP</w:t>
      </w:r>
      <w:r w:rsidRPr="00D369CD">
        <w:rPr>
          <w:vertAlign w:val="subscript"/>
        </w:rPr>
        <w:t>o/w</w:t>
      </w:r>
      <w:r w:rsidRPr="00D369CD">
        <w:t xml:space="preserve"> értéke: 5,66</w:t>
      </w:r>
    </w:p>
    <w:p w:rsidR="00CE7B94" w:rsidRDefault="00CE7B94"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CE7B94" w:rsidRDefault="00CE7B94"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vPvB-anyagok.</w:t>
      </w:r>
    </w:p>
    <w:p w:rsidR="00CE7B94" w:rsidRPr="001A71E5" w:rsidRDefault="00CE7B94" w:rsidP="004A2824">
      <w:pPr>
        <w:pStyle w:val="BodyTextIndent2"/>
        <w:spacing w:before="40"/>
        <w:ind w:left="0"/>
      </w:pPr>
      <w:r>
        <w:rPr>
          <w:b/>
          <w:bCs/>
        </w:rPr>
        <w:t xml:space="preserve">12.6. </w:t>
      </w:r>
      <w:r w:rsidRPr="001A71E5">
        <w:rPr>
          <w:b/>
          <w:bCs/>
        </w:rPr>
        <w:t>Egyéb</w:t>
      </w:r>
      <w:r>
        <w:rPr>
          <w:b/>
          <w:bCs/>
        </w:rPr>
        <w:t xml:space="preserve"> káros hatások:</w:t>
      </w:r>
      <w:r w:rsidRPr="0010615F">
        <w:t xml:space="preserve"> </w:t>
      </w:r>
      <w:r>
        <w:t>a</w:t>
      </w:r>
      <w:r w:rsidRPr="00087B12">
        <w:t xml:space="preserve"> terméket nagy mennyiségben nem szabad a közművek szennyvízcsatornáiba, valamint a természetes felszíni vizekbe és a talajvízbe juttatni; mert az a </w:t>
      </w:r>
      <w:r>
        <w:br/>
      </w:r>
      <w:r w:rsidRPr="00087B12">
        <w:t xml:space="preserve">pH-érték csökkenéséhez vezethet; az alacsony pH károsítja a vízi élőlényeket. </w:t>
      </w:r>
      <w:r w:rsidRPr="001A71E5">
        <w:t>Ha hígított formában a szennyvízcsatornába vezetik, az erre vonatkozó helyi előírások (pl.: pH-érték) követendők.</w:t>
      </w:r>
    </w:p>
    <w:p w:rsidR="00CE7B94" w:rsidRDefault="00CE7B94"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CE7B94" w:rsidRDefault="00CE7B94" w:rsidP="00B26C47">
      <w:pPr>
        <w:pStyle w:val="BodyTextIndent"/>
        <w:ind w:left="0"/>
      </w:pPr>
      <w:r w:rsidRPr="00D14ED4">
        <w:rPr>
          <w:b/>
          <w:bCs/>
        </w:rPr>
        <w:t>13.1. Hulladékkezelési módszerek</w:t>
      </w:r>
      <w:r>
        <w:rPr>
          <w:b/>
          <w:bCs/>
        </w:rPr>
        <w:t xml:space="preserve">: </w:t>
      </w:r>
      <w:r w:rsidRPr="00794836">
        <w:t xml:space="preserve">a </w:t>
      </w:r>
      <w:r w:rsidRPr="00D14ED4">
        <w:t>termék</w:t>
      </w:r>
      <w:r>
        <w:t xml:space="preserve"> maradékának, hulladékának </w:t>
      </w:r>
      <w:r w:rsidRPr="00D14ED4">
        <w:t xml:space="preserve">és </w:t>
      </w:r>
      <w:r>
        <w:t xml:space="preserve">a </w:t>
      </w:r>
      <w:r w:rsidRPr="00D14ED4">
        <w:t xml:space="preserve">csomagolóanyagának </w:t>
      </w:r>
      <w:r>
        <w:t xml:space="preserve">az </w:t>
      </w:r>
      <w:r w:rsidRPr="00D14ED4">
        <w:t>ártalmatlanítása a helyi előírásoknak megfelelően történjen.</w:t>
      </w:r>
      <w:r>
        <w:t xml:space="preserve"> </w:t>
      </w:r>
    </w:p>
    <w:p w:rsidR="00CE7B94" w:rsidRDefault="00CE7B94" w:rsidP="00A1655E">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r>
        <w:t xml:space="preserve"> </w:t>
      </w:r>
      <w:r>
        <w:rPr>
          <w:spacing w:val="-2"/>
        </w:rPr>
        <w:t>Kis mennyiségek háztartási hulladékként kezelhetőek.</w:t>
      </w:r>
    </w:p>
    <w:p w:rsidR="00CE7B94" w:rsidRPr="00A1655E" w:rsidRDefault="00CE7B94" w:rsidP="00CD5461">
      <w:pPr>
        <w:tabs>
          <w:tab w:val="left" w:pos="2268"/>
        </w:tabs>
        <w:spacing w:before="40"/>
        <w:ind w:right="170"/>
        <w:jc w:val="both"/>
        <w:rPr>
          <w:rFonts w:ascii="Tahoma" w:hAnsi="Tahoma" w:cs="Tahoma"/>
          <w:snapToGrid w:val="0"/>
        </w:rPr>
      </w:pPr>
      <w:r w:rsidRPr="00A1655E">
        <w:rPr>
          <w:rFonts w:ascii="Tahoma" w:hAnsi="Tahoma" w:cs="Tahoma"/>
          <w:snapToGrid w:val="0"/>
          <w:spacing w:val="-2"/>
        </w:rPr>
        <w:t>A termék hulladékának besorolása h</w:t>
      </w:r>
      <w:r w:rsidRPr="00A1655E">
        <w:rPr>
          <w:rFonts w:ascii="Tahoma" w:hAnsi="Tahoma" w:cs="Tahoma"/>
          <w:snapToGrid w:val="0"/>
        </w:rPr>
        <w:t>ulladékkulcs: 16 10 01*</w:t>
      </w:r>
    </w:p>
    <w:p w:rsidR="00CE7B94" w:rsidRPr="00D369CD" w:rsidRDefault="00CE7B94" w:rsidP="00CD5461">
      <w:pPr>
        <w:tabs>
          <w:tab w:val="left" w:pos="142"/>
          <w:tab w:val="left" w:pos="1701"/>
        </w:tabs>
        <w:spacing w:before="60"/>
        <w:jc w:val="both"/>
        <w:rPr>
          <w:rFonts w:ascii="Tahoma" w:hAnsi="Tahoma" w:cs="Tahoma"/>
          <w:snapToGrid w:val="0"/>
        </w:rPr>
      </w:pPr>
      <w:r w:rsidRPr="00D369CD">
        <w:rPr>
          <w:rFonts w:ascii="Tahoma" w:hAnsi="Tahoma" w:cs="Tahoma"/>
          <w:snapToGrid w:val="0"/>
        </w:rPr>
        <w:t>A vízzel alaposan kitisztított, hulladékká vált csomagolóanyag besorolása: 15 01 02</w:t>
      </w:r>
    </w:p>
    <w:p w:rsidR="00CE7B94" w:rsidRDefault="00CE7B94"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CE7B94" w:rsidRDefault="00CE7B94"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CE7B94" w:rsidRDefault="00CE7B94" w:rsidP="005D6C4F">
      <w:pPr>
        <w:pStyle w:val="BodyTextIndent"/>
        <w:spacing w:before="0"/>
        <w:ind w:left="0"/>
        <w:rPr>
          <w:b/>
          <w:bCs/>
        </w:rPr>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CE7B94" w:rsidRPr="007E27A7" w:rsidRDefault="00CE7B94" w:rsidP="002019A6">
      <w:pPr>
        <w:pStyle w:val="BodyTextIndent"/>
        <w:ind w:left="0"/>
      </w:pPr>
      <w:r w:rsidRPr="00FF1678">
        <w:rPr>
          <w:b/>
          <w:bCs/>
        </w:rPr>
        <w:t>14.1</w:t>
      </w:r>
      <w:r>
        <w:rPr>
          <w:b/>
          <w:bCs/>
        </w:rPr>
        <w:t>.</w:t>
      </w:r>
      <w:r w:rsidRPr="00FF1678">
        <w:rPr>
          <w:b/>
          <w:bCs/>
        </w:rPr>
        <w:t xml:space="preserve"> </w:t>
      </w:r>
      <w:r>
        <w:rPr>
          <w:b/>
          <w:bCs/>
        </w:rPr>
        <w:t xml:space="preserve">– </w:t>
      </w:r>
      <w:r w:rsidRPr="00FF1678">
        <w:rPr>
          <w:b/>
          <w:bCs/>
        </w:rPr>
        <w:t>14.7</w:t>
      </w:r>
      <w:r w:rsidRPr="00EF2769">
        <w:rPr>
          <w:b/>
          <w:bCs/>
        </w:rPr>
        <w:t xml:space="preserve">.: </w:t>
      </w:r>
      <w:r w:rsidRPr="00FF1678">
        <w:t>nem alkalmazható</w:t>
      </w:r>
      <w:r>
        <w:t>.</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CE7B94" w:rsidRPr="00852B67" w:rsidRDefault="00CE7B94"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CE7B94" w:rsidRPr="00887421" w:rsidRDefault="00CE7B94" w:rsidP="00B72CE8">
      <w:pPr>
        <w:pStyle w:val="BodyTextIndent"/>
        <w:widowControl w:val="0"/>
        <w:spacing w:before="40"/>
        <w:ind w:left="0"/>
      </w:pPr>
      <w:r w:rsidRPr="00887421">
        <w:t>A termék nem tartalmaz különös aggodalomra okot adó (SVHC) anyagot.</w:t>
      </w:r>
    </w:p>
    <w:p w:rsidR="00CE7B94" w:rsidRPr="00887421" w:rsidRDefault="00CE7B94" w:rsidP="00D369CD">
      <w:pPr>
        <w:pStyle w:val="BodyTextIndent"/>
        <w:widowControl w:val="0"/>
        <w:spacing w:before="0"/>
        <w:ind w:left="0"/>
      </w:pPr>
      <w:r w:rsidRPr="00887421">
        <w:t>A termék nem tartalmaz a REACH XIV.</w:t>
      </w:r>
      <w:r>
        <w:t xml:space="preserve"> és XVII.</w:t>
      </w:r>
      <w:r w:rsidRPr="00887421">
        <w:t xml:space="preserve"> mellékletében listázott anyagot.</w:t>
      </w:r>
    </w:p>
    <w:p w:rsidR="00CE7B94" w:rsidRPr="00887421" w:rsidRDefault="00CE7B94" w:rsidP="00D369CD">
      <w:pPr>
        <w:pStyle w:val="BodyTextIndent"/>
        <w:widowControl w:val="0"/>
        <w:spacing w:before="0"/>
        <w:ind w:left="0"/>
      </w:pPr>
      <w:r w:rsidRPr="00887421">
        <w:t>A termék nem tartalmaz ózonréteg károsító anyagot.</w:t>
      </w:r>
    </w:p>
    <w:p w:rsidR="00CE7B94" w:rsidRPr="009F775C" w:rsidRDefault="00CE7B94" w:rsidP="002019A6">
      <w:pPr>
        <w:pStyle w:val="BodyTextIndent"/>
        <w:widowControl w:val="0"/>
        <w:spacing w:before="120"/>
        <w:ind w:left="0"/>
        <w:rPr>
          <w:b/>
          <w:bCs/>
        </w:rPr>
      </w:pPr>
      <w:r w:rsidRPr="009F775C">
        <w:rPr>
          <w:b/>
          <w:bCs/>
        </w:rPr>
        <w:t>Vonatkozó közösségi joganyagok</w:t>
      </w:r>
    </w:p>
    <w:p w:rsidR="00CE7B94" w:rsidRPr="009F775C" w:rsidRDefault="00CE7B94" w:rsidP="002019A6">
      <w:pPr>
        <w:pStyle w:val="BodyTextIndent"/>
        <w:spacing w:before="0"/>
        <w:ind w:left="0"/>
      </w:pPr>
      <w:r w:rsidRPr="009F775C">
        <w:t>REACH rendelet: 1907/2006/EK és módosításai;</w:t>
      </w:r>
    </w:p>
    <w:p w:rsidR="00CE7B94" w:rsidRPr="00BF717E" w:rsidRDefault="00CE7B94" w:rsidP="00D369CD">
      <w:pPr>
        <w:spacing w:before="4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CE7B94" w:rsidRPr="005449DD" w:rsidRDefault="00CE7B94" w:rsidP="002019A6">
      <w:pPr>
        <w:pStyle w:val="BodyTextIndent"/>
        <w:spacing w:before="40"/>
        <w:ind w:left="0"/>
      </w:pPr>
      <w:r w:rsidRPr="005449DD">
        <w:t>98/24/EK irányelve a munkájuk során vegyi anyagokkal kapcsolatos kockázatoknak kitett munkavállalók egészségének, biztonságának védelméről</w:t>
      </w:r>
    </w:p>
    <w:p w:rsidR="00CE7B94" w:rsidRDefault="00CE7B94" w:rsidP="002019A6">
      <w:pPr>
        <w:pStyle w:val="BodyTextIndent"/>
        <w:spacing w:before="40"/>
        <w:ind w:left="0"/>
      </w:pPr>
      <w:r w:rsidRPr="009F775C">
        <w:t>Tisztítószer-rendelet: 648/2004/EK és módosításai</w:t>
      </w:r>
    </w:p>
    <w:p w:rsidR="00CE7B94" w:rsidRPr="009F775C" w:rsidRDefault="00CE7B94" w:rsidP="002019A6">
      <w:pPr>
        <w:pStyle w:val="BodyTextIndent"/>
        <w:widowControl w:val="0"/>
        <w:spacing w:before="120"/>
        <w:ind w:left="0"/>
        <w:rPr>
          <w:b/>
          <w:bCs/>
        </w:rPr>
      </w:pPr>
      <w:r w:rsidRPr="009F775C">
        <w:rPr>
          <w:b/>
          <w:bCs/>
        </w:rPr>
        <w:t>Vonatkozó nemzeti joganyagok</w:t>
      </w:r>
    </w:p>
    <w:p w:rsidR="00CE7B94" w:rsidRPr="009F775C" w:rsidRDefault="00CE7B94" w:rsidP="002019A6">
      <w:pPr>
        <w:pStyle w:val="BodyTextIndent"/>
        <w:ind w:left="1701" w:hanging="1701"/>
      </w:pPr>
      <w:r w:rsidRPr="009F775C">
        <w:t>Tisztítószerek:</w:t>
      </w:r>
      <w:r w:rsidRPr="009F775C">
        <w:tab/>
        <w:t>270/2005. (XII.15.) Korm. rendelet a mosó- és tisztítószerek hatóanyagai biológiai lebonthatóságának ellenőrzéséről és az információszolgáltatás rendjéről;</w:t>
      </w:r>
    </w:p>
    <w:p w:rsidR="00CE7B94" w:rsidRPr="009F775C" w:rsidRDefault="00CE7B94" w:rsidP="002019A6">
      <w:pPr>
        <w:pStyle w:val="BodyTextIndent"/>
        <w:ind w:left="1701"/>
      </w:pPr>
      <w:r w:rsidRPr="009F775C">
        <w:t>329/2012. (XI.16.) Korm. rendelet a mosó- és tisztítószerek forgalombahozatalának feltételeiről és az ellenőrzés rendjéről;</w:t>
      </w:r>
    </w:p>
    <w:p w:rsidR="00CE7B94" w:rsidRPr="009F775C" w:rsidRDefault="00CE7B94" w:rsidP="002019A6">
      <w:pPr>
        <w:pStyle w:val="BodyTextIndent"/>
        <w:ind w:left="1701" w:hanging="1701"/>
      </w:pPr>
      <w:r w:rsidRPr="009F775C">
        <w:t>Munkavédelem:</w:t>
      </w:r>
      <w:r w:rsidRPr="009F775C">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CE7B94" w:rsidRPr="009F775C" w:rsidRDefault="00CE7B94" w:rsidP="002019A6">
      <w:pPr>
        <w:pStyle w:val="BodyTextIndent"/>
        <w:ind w:left="1701" w:hanging="1701"/>
      </w:pPr>
      <w:r w:rsidRPr="009F775C">
        <w:t>Kémiai biztonság:</w:t>
      </w:r>
      <w:r w:rsidRPr="009F775C">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E7B94" w:rsidRPr="009F775C" w:rsidRDefault="00CE7B94" w:rsidP="002019A6">
      <w:pPr>
        <w:pStyle w:val="BodyTextIndent"/>
        <w:tabs>
          <w:tab w:val="left" w:pos="1418"/>
        </w:tabs>
        <w:spacing w:before="4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CE7B94" w:rsidRPr="009F775C" w:rsidRDefault="00CE7B94" w:rsidP="002019A6">
      <w:pPr>
        <w:pStyle w:val="BodyTextIndent"/>
        <w:widowControl w:val="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CE7B94" w:rsidRPr="009F775C" w:rsidRDefault="00CE7B94" w:rsidP="002019A6">
      <w:pPr>
        <w:pStyle w:val="BodyTextIndent"/>
        <w:widowControl w:val="0"/>
        <w:spacing w:before="120"/>
        <w:ind w:left="0"/>
        <w:jc w:val="left"/>
      </w:pPr>
      <w:r w:rsidRPr="009F775C">
        <w:rPr>
          <w:b/>
          <w:bCs/>
        </w:rPr>
        <w:t>15.2. Kémiai biztonsági értékelés:</w:t>
      </w:r>
      <w:r w:rsidRPr="009F775C">
        <w:t xml:space="preserve"> nem készült.</w:t>
      </w:r>
    </w:p>
    <w:p w:rsidR="00CE7B94" w:rsidRDefault="00CE7B9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CE7B94" w:rsidRDefault="00CE7B94"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CE7B94" w:rsidRDefault="00CE7B94"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CE7B94" w:rsidRDefault="00CE7B94" w:rsidP="00D369CD">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CE7B94" w:rsidRDefault="00CE7B94" w:rsidP="00E63806">
      <w:pPr>
        <w:pStyle w:val="BodyTextIndent"/>
        <w:tabs>
          <w:tab w:val="left" w:pos="1134"/>
        </w:tabs>
        <w:spacing w:before="0"/>
        <w:ind w:left="0"/>
      </w:pPr>
      <w:r>
        <w:t>M</w:t>
      </w:r>
      <w:r w:rsidRPr="00824369">
        <w:rPr>
          <w:vertAlign w:val="subscript"/>
        </w:rPr>
        <w:t>(akut)</w:t>
      </w:r>
      <w:r>
        <w:t>: M-tényező az akut vízi toxicitásra vonatkozólag</w:t>
      </w:r>
    </w:p>
    <w:p w:rsidR="00CE7B94" w:rsidRDefault="00CE7B94" w:rsidP="00E63806">
      <w:pPr>
        <w:pStyle w:val="BodyTextIndent"/>
        <w:tabs>
          <w:tab w:val="left" w:pos="1134"/>
        </w:tabs>
        <w:spacing w:before="0"/>
        <w:ind w:left="0"/>
      </w:pPr>
      <w:r>
        <w:t>PBT: perzisztens, bioakkumulatív, toxikus; vPvB: nagyon perzisztens, nagyon bioakkumulatív</w:t>
      </w:r>
    </w:p>
    <w:p w:rsidR="00CE7B94" w:rsidRPr="006B2FFA" w:rsidRDefault="00CE7B94"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CE7B94" w:rsidRPr="00B26C47" w:rsidRDefault="00CE7B94"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CE7B94" w:rsidRPr="00B26C47" w:rsidRDefault="00CE7B94"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CE7B94" w:rsidRDefault="00CE7B94"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CE7B94" w:rsidRPr="00B26C47" w:rsidRDefault="00CE7B94"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CE7B94" w:rsidRPr="00B26C47" w:rsidRDefault="00CE7B94"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CE7B94" w:rsidRPr="006553AB" w:rsidRDefault="00CE7B94" w:rsidP="005457A7">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14-én, melyet felülvizsgáltak 2019. május 27-én.</w:t>
      </w:r>
    </w:p>
    <w:p w:rsidR="00CE7B94" w:rsidRPr="006553AB" w:rsidRDefault="00CE7B94" w:rsidP="005D6C4F">
      <w:pPr>
        <w:tabs>
          <w:tab w:val="left" w:pos="0"/>
          <w:tab w:val="left" w:pos="1134"/>
        </w:tabs>
        <w:autoSpaceDE w:val="0"/>
        <w:autoSpaceDN w:val="0"/>
        <w:adjustRightInd w:val="0"/>
        <w:spacing w:before="120"/>
        <w:jc w:val="both"/>
        <w:rPr>
          <w:sz w:val="18"/>
          <w:szCs w:val="18"/>
        </w:rPr>
      </w:pPr>
    </w:p>
    <w:sectPr w:rsidR="00CE7B94" w:rsidRPr="006553AB" w:rsidSect="00867F7E">
      <w:headerReference w:type="default" r:id="rId9"/>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94" w:rsidRDefault="00CE7B94">
      <w:r>
        <w:separator/>
      </w:r>
    </w:p>
  </w:endnote>
  <w:endnote w:type="continuationSeparator" w:id="0">
    <w:p w:rsidR="00CE7B94" w:rsidRDefault="00CE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94" w:rsidRDefault="00CE7B94">
      <w:r>
        <w:separator/>
      </w:r>
    </w:p>
  </w:footnote>
  <w:footnote w:type="continuationSeparator" w:id="0">
    <w:p w:rsidR="00CE7B94" w:rsidRDefault="00CE7B94">
      <w:r>
        <w:continuationSeparator/>
      </w:r>
    </w:p>
  </w:footnote>
  <w:footnote w:id="1">
    <w:p w:rsidR="00CE7B94" w:rsidRDefault="00CE7B94"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2">
    <w:p w:rsidR="00CE7B94" w:rsidRDefault="00CE7B94">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amidoszulfonsav, szul</w:t>
      </w:r>
      <w:r>
        <w:rPr>
          <w:rFonts w:ascii="Tahoma" w:hAnsi="Tahoma" w:cs="Tahoma"/>
          <w:sz w:val="18"/>
          <w:szCs w:val="18"/>
        </w:rPr>
        <w:t>f</w:t>
      </w:r>
      <w:r w:rsidRPr="007271C0">
        <w:rPr>
          <w:rFonts w:ascii="Tahoma" w:hAnsi="Tahoma" w:cs="Tahoma"/>
          <w:sz w:val="18"/>
          <w:szCs w:val="18"/>
        </w:rPr>
        <w:t>amidsav</w:t>
      </w:r>
    </w:p>
  </w:footnote>
  <w:footnote w:id="3">
    <w:p w:rsidR="00CE7B94" w:rsidRDefault="00CE7B94">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mirisztamin-oxid</w:t>
      </w:r>
    </w:p>
  </w:footnote>
  <w:footnote w:id="4">
    <w:p w:rsidR="00CE7B94" w:rsidRDefault="00CE7B94" w:rsidP="00FD3178">
      <w:pPr>
        <w:pStyle w:val="FootnoteText"/>
        <w:tabs>
          <w:tab w:val="left" w:pos="142"/>
          <w:tab w:val="left" w:pos="567"/>
        </w:tabs>
      </w:pPr>
      <w:r w:rsidRPr="001046F4">
        <w:rPr>
          <w:rStyle w:val="FootnoteReference"/>
          <w:sz w:val="16"/>
          <w:szCs w:val="16"/>
        </w:rPr>
        <w:footnoteRef/>
      </w:r>
      <w:r w:rsidRPr="001046F4">
        <w:rPr>
          <w:rFonts w:ascii="Tahoma" w:hAnsi="Tahoma" w:cs="Tahoma"/>
          <w:sz w:val="16"/>
          <w:szCs w:val="16"/>
        </w:rPr>
        <w:t xml:space="preserve"> DNEL - DERIVED NO EFFECT LEVEL - a származtatott hatásmentes humán-expozíció szintje</w:t>
      </w:r>
    </w:p>
  </w:footnote>
  <w:footnote w:id="5">
    <w:p w:rsidR="00CE7B94" w:rsidRDefault="00CE7B94" w:rsidP="00EA67AC">
      <w:pPr>
        <w:pStyle w:val="FootnoteText"/>
        <w:ind w:left="709" w:hanging="709"/>
      </w:pPr>
      <w:r w:rsidRPr="001046F4">
        <w:rPr>
          <w:rStyle w:val="FootnoteReference"/>
          <w:sz w:val="16"/>
          <w:szCs w:val="16"/>
        </w:rPr>
        <w:footnoteRef/>
      </w:r>
      <w:r w:rsidRPr="001046F4">
        <w:rPr>
          <w:rFonts w:ascii="Tahoma" w:hAnsi="Tahoma" w:cs="Tahoma"/>
          <w:sz w:val="16"/>
          <w:szCs w:val="16"/>
        </w:rPr>
        <w:t xml:space="preserve"> PNEC - PREDICTED NO EFFECT CONCENTRATION -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94" w:rsidRDefault="00CE7B9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WC tisztító gél – ocean fresh</w:t>
    </w:r>
    <w:r>
      <w:rPr>
        <w:rFonts w:ascii="Tahoma" w:hAnsi="Tahoma" w:cs="Tahoma"/>
        <w:noProof/>
        <w:sz w:val="14"/>
        <w:szCs w:val="14"/>
      </w:rPr>
      <w:tab/>
    </w:r>
  </w:p>
  <w:p w:rsidR="00CE7B94" w:rsidRDefault="00CE7B9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CE7B94" w:rsidRDefault="00CE7B9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14.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CE7B94" w:rsidRDefault="00CE7B94"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6A46"/>
    <w:rsid w:val="0000786A"/>
    <w:rsid w:val="00011871"/>
    <w:rsid w:val="00012C3A"/>
    <w:rsid w:val="0002079C"/>
    <w:rsid w:val="000267AD"/>
    <w:rsid w:val="00035BEF"/>
    <w:rsid w:val="00037104"/>
    <w:rsid w:val="000376BB"/>
    <w:rsid w:val="00040A53"/>
    <w:rsid w:val="0004614E"/>
    <w:rsid w:val="00052853"/>
    <w:rsid w:val="00054727"/>
    <w:rsid w:val="00054FA8"/>
    <w:rsid w:val="000564A5"/>
    <w:rsid w:val="000568BF"/>
    <w:rsid w:val="00060AEA"/>
    <w:rsid w:val="00077F0C"/>
    <w:rsid w:val="00080769"/>
    <w:rsid w:val="00084965"/>
    <w:rsid w:val="0008511E"/>
    <w:rsid w:val="000858D4"/>
    <w:rsid w:val="00087B12"/>
    <w:rsid w:val="00090B0D"/>
    <w:rsid w:val="00097A4E"/>
    <w:rsid w:val="000A03A4"/>
    <w:rsid w:val="000A17CF"/>
    <w:rsid w:val="000A1905"/>
    <w:rsid w:val="000A218F"/>
    <w:rsid w:val="000A36D7"/>
    <w:rsid w:val="000B03BD"/>
    <w:rsid w:val="000B17D8"/>
    <w:rsid w:val="000B35E5"/>
    <w:rsid w:val="000C05BE"/>
    <w:rsid w:val="000C1EB0"/>
    <w:rsid w:val="000C292F"/>
    <w:rsid w:val="000C570C"/>
    <w:rsid w:val="000C6C21"/>
    <w:rsid w:val="000D0B10"/>
    <w:rsid w:val="000D45E5"/>
    <w:rsid w:val="000E1DD2"/>
    <w:rsid w:val="000E4A43"/>
    <w:rsid w:val="000E51C7"/>
    <w:rsid w:val="000F0E73"/>
    <w:rsid w:val="000F1C1A"/>
    <w:rsid w:val="00100203"/>
    <w:rsid w:val="001007CD"/>
    <w:rsid w:val="00101AF6"/>
    <w:rsid w:val="00102AFA"/>
    <w:rsid w:val="00102F47"/>
    <w:rsid w:val="001046F4"/>
    <w:rsid w:val="0010615F"/>
    <w:rsid w:val="001063D0"/>
    <w:rsid w:val="00106BC4"/>
    <w:rsid w:val="001179C0"/>
    <w:rsid w:val="0012223F"/>
    <w:rsid w:val="00123D5E"/>
    <w:rsid w:val="00124467"/>
    <w:rsid w:val="001244DF"/>
    <w:rsid w:val="001316A1"/>
    <w:rsid w:val="0013230F"/>
    <w:rsid w:val="0014202A"/>
    <w:rsid w:val="0014339B"/>
    <w:rsid w:val="001451C7"/>
    <w:rsid w:val="0015371B"/>
    <w:rsid w:val="001555B4"/>
    <w:rsid w:val="00155BA0"/>
    <w:rsid w:val="001610D0"/>
    <w:rsid w:val="001655D8"/>
    <w:rsid w:val="00172A90"/>
    <w:rsid w:val="00173BF9"/>
    <w:rsid w:val="00174F2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1364"/>
    <w:rsid w:val="001C5776"/>
    <w:rsid w:val="001C74F9"/>
    <w:rsid w:val="001C77FE"/>
    <w:rsid w:val="001D1A25"/>
    <w:rsid w:val="001D7C4F"/>
    <w:rsid w:val="001E4463"/>
    <w:rsid w:val="001E47CE"/>
    <w:rsid w:val="001E5BCD"/>
    <w:rsid w:val="001F1F52"/>
    <w:rsid w:val="001F5087"/>
    <w:rsid w:val="002019A6"/>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90594"/>
    <w:rsid w:val="00291C82"/>
    <w:rsid w:val="00293D58"/>
    <w:rsid w:val="00295615"/>
    <w:rsid w:val="002A037D"/>
    <w:rsid w:val="002A09C5"/>
    <w:rsid w:val="002A1B85"/>
    <w:rsid w:val="002A3760"/>
    <w:rsid w:val="002B06F6"/>
    <w:rsid w:val="002B4D3E"/>
    <w:rsid w:val="002B5B34"/>
    <w:rsid w:val="002B6409"/>
    <w:rsid w:val="002B6BE7"/>
    <w:rsid w:val="002C4EED"/>
    <w:rsid w:val="002C56A6"/>
    <w:rsid w:val="002C6EA5"/>
    <w:rsid w:val="002E3380"/>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81620"/>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2FBE"/>
    <w:rsid w:val="00423513"/>
    <w:rsid w:val="00423A1B"/>
    <w:rsid w:val="004247F7"/>
    <w:rsid w:val="00425CBF"/>
    <w:rsid w:val="004264D3"/>
    <w:rsid w:val="00430026"/>
    <w:rsid w:val="00431337"/>
    <w:rsid w:val="00431571"/>
    <w:rsid w:val="00433957"/>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A5379"/>
    <w:rsid w:val="004B13BE"/>
    <w:rsid w:val="004C1FE7"/>
    <w:rsid w:val="004D3DF8"/>
    <w:rsid w:val="004D430B"/>
    <w:rsid w:val="004D5835"/>
    <w:rsid w:val="004D6BA9"/>
    <w:rsid w:val="004E02DE"/>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1B4B"/>
    <w:rsid w:val="00523669"/>
    <w:rsid w:val="00523C6F"/>
    <w:rsid w:val="00524CB6"/>
    <w:rsid w:val="00527C81"/>
    <w:rsid w:val="005301DB"/>
    <w:rsid w:val="005301DC"/>
    <w:rsid w:val="005449DD"/>
    <w:rsid w:val="005457A7"/>
    <w:rsid w:val="00546BDB"/>
    <w:rsid w:val="00546D71"/>
    <w:rsid w:val="0055089F"/>
    <w:rsid w:val="005518AD"/>
    <w:rsid w:val="00551E54"/>
    <w:rsid w:val="005545FB"/>
    <w:rsid w:val="005607C0"/>
    <w:rsid w:val="00562764"/>
    <w:rsid w:val="0056484A"/>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C2FF4"/>
    <w:rsid w:val="005C358B"/>
    <w:rsid w:val="005C3AF3"/>
    <w:rsid w:val="005C3B1E"/>
    <w:rsid w:val="005C3D64"/>
    <w:rsid w:val="005C50EE"/>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87139"/>
    <w:rsid w:val="00696C6B"/>
    <w:rsid w:val="006A0D13"/>
    <w:rsid w:val="006A2F2A"/>
    <w:rsid w:val="006A3E07"/>
    <w:rsid w:val="006B0DCF"/>
    <w:rsid w:val="006B0FFE"/>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0303E"/>
    <w:rsid w:val="00710AEF"/>
    <w:rsid w:val="007127E8"/>
    <w:rsid w:val="0071479E"/>
    <w:rsid w:val="0071795A"/>
    <w:rsid w:val="007271C0"/>
    <w:rsid w:val="0073012A"/>
    <w:rsid w:val="007311DF"/>
    <w:rsid w:val="00731BE6"/>
    <w:rsid w:val="00741037"/>
    <w:rsid w:val="00741528"/>
    <w:rsid w:val="0074610E"/>
    <w:rsid w:val="007476A0"/>
    <w:rsid w:val="00747813"/>
    <w:rsid w:val="007507A9"/>
    <w:rsid w:val="00755B18"/>
    <w:rsid w:val="0076309D"/>
    <w:rsid w:val="00763ACA"/>
    <w:rsid w:val="00764471"/>
    <w:rsid w:val="0076637C"/>
    <w:rsid w:val="007740E1"/>
    <w:rsid w:val="007777B8"/>
    <w:rsid w:val="00780C87"/>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3FA9"/>
    <w:rsid w:val="007C42C0"/>
    <w:rsid w:val="007D23DA"/>
    <w:rsid w:val="007D4273"/>
    <w:rsid w:val="007D44D3"/>
    <w:rsid w:val="007D53AE"/>
    <w:rsid w:val="007D560D"/>
    <w:rsid w:val="007D619B"/>
    <w:rsid w:val="007D7BBA"/>
    <w:rsid w:val="007E27A7"/>
    <w:rsid w:val="007E40C9"/>
    <w:rsid w:val="007E4261"/>
    <w:rsid w:val="007E705C"/>
    <w:rsid w:val="007E7BF3"/>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0206"/>
    <w:rsid w:val="008624A2"/>
    <w:rsid w:val="00865127"/>
    <w:rsid w:val="008661B6"/>
    <w:rsid w:val="0086624B"/>
    <w:rsid w:val="00866CA1"/>
    <w:rsid w:val="00867F7E"/>
    <w:rsid w:val="00871448"/>
    <w:rsid w:val="00874D02"/>
    <w:rsid w:val="00880685"/>
    <w:rsid w:val="00881F77"/>
    <w:rsid w:val="00887421"/>
    <w:rsid w:val="00897F4A"/>
    <w:rsid w:val="008A684B"/>
    <w:rsid w:val="008B0B25"/>
    <w:rsid w:val="008B4EC6"/>
    <w:rsid w:val="008B5418"/>
    <w:rsid w:val="008C1723"/>
    <w:rsid w:val="008C1891"/>
    <w:rsid w:val="008C34D8"/>
    <w:rsid w:val="008C4891"/>
    <w:rsid w:val="008C7181"/>
    <w:rsid w:val="008D01FE"/>
    <w:rsid w:val="008D5244"/>
    <w:rsid w:val="008D584F"/>
    <w:rsid w:val="008D7648"/>
    <w:rsid w:val="008E24C3"/>
    <w:rsid w:val="008E689F"/>
    <w:rsid w:val="008F05F6"/>
    <w:rsid w:val="008F2D87"/>
    <w:rsid w:val="008F5DF1"/>
    <w:rsid w:val="008F6CFF"/>
    <w:rsid w:val="00903A13"/>
    <w:rsid w:val="00904A7D"/>
    <w:rsid w:val="009062AF"/>
    <w:rsid w:val="0090637B"/>
    <w:rsid w:val="00910F0A"/>
    <w:rsid w:val="00911E11"/>
    <w:rsid w:val="00915366"/>
    <w:rsid w:val="00915709"/>
    <w:rsid w:val="009203F2"/>
    <w:rsid w:val="00920DAC"/>
    <w:rsid w:val="00921F86"/>
    <w:rsid w:val="00922CBA"/>
    <w:rsid w:val="0092572E"/>
    <w:rsid w:val="009313BB"/>
    <w:rsid w:val="00934700"/>
    <w:rsid w:val="009353BE"/>
    <w:rsid w:val="009408D8"/>
    <w:rsid w:val="009411E5"/>
    <w:rsid w:val="009415F4"/>
    <w:rsid w:val="00947868"/>
    <w:rsid w:val="00954020"/>
    <w:rsid w:val="0096262D"/>
    <w:rsid w:val="009627F5"/>
    <w:rsid w:val="009646CA"/>
    <w:rsid w:val="00964C6F"/>
    <w:rsid w:val="00966D2D"/>
    <w:rsid w:val="00971698"/>
    <w:rsid w:val="00972401"/>
    <w:rsid w:val="00973588"/>
    <w:rsid w:val="00974C5E"/>
    <w:rsid w:val="009801E7"/>
    <w:rsid w:val="00994564"/>
    <w:rsid w:val="00995C93"/>
    <w:rsid w:val="009962E7"/>
    <w:rsid w:val="00996F50"/>
    <w:rsid w:val="009A1225"/>
    <w:rsid w:val="009A7620"/>
    <w:rsid w:val="009B057A"/>
    <w:rsid w:val="009B2A63"/>
    <w:rsid w:val="009B325F"/>
    <w:rsid w:val="009B39F9"/>
    <w:rsid w:val="009B6108"/>
    <w:rsid w:val="009B6461"/>
    <w:rsid w:val="009C0503"/>
    <w:rsid w:val="009C09DF"/>
    <w:rsid w:val="009C1D9A"/>
    <w:rsid w:val="009C363D"/>
    <w:rsid w:val="009C70CF"/>
    <w:rsid w:val="009D096A"/>
    <w:rsid w:val="009D39F4"/>
    <w:rsid w:val="009D660E"/>
    <w:rsid w:val="009D663D"/>
    <w:rsid w:val="009D75F0"/>
    <w:rsid w:val="009E174D"/>
    <w:rsid w:val="009E3DFE"/>
    <w:rsid w:val="009F1846"/>
    <w:rsid w:val="009F775C"/>
    <w:rsid w:val="00A0044A"/>
    <w:rsid w:val="00A018D0"/>
    <w:rsid w:val="00A111E6"/>
    <w:rsid w:val="00A1233F"/>
    <w:rsid w:val="00A15CE7"/>
    <w:rsid w:val="00A1655E"/>
    <w:rsid w:val="00A20128"/>
    <w:rsid w:val="00A2200F"/>
    <w:rsid w:val="00A254C1"/>
    <w:rsid w:val="00A25544"/>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2F48"/>
    <w:rsid w:val="00AD5077"/>
    <w:rsid w:val="00AF4925"/>
    <w:rsid w:val="00AF549D"/>
    <w:rsid w:val="00B0111B"/>
    <w:rsid w:val="00B029F4"/>
    <w:rsid w:val="00B110D7"/>
    <w:rsid w:val="00B11DFE"/>
    <w:rsid w:val="00B12268"/>
    <w:rsid w:val="00B15377"/>
    <w:rsid w:val="00B158D1"/>
    <w:rsid w:val="00B234DF"/>
    <w:rsid w:val="00B26C47"/>
    <w:rsid w:val="00B3376E"/>
    <w:rsid w:val="00B40DA6"/>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01D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6DA9"/>
    <w:rsid w:val="00BF717E"/>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0EC1"/>
    <w:rsid w:val="00C54589"/>
    <w:rsid w:val="00C6520D"/>
    <w:rsid w:val="00C66674"/>
    <w:rsid w:val="00C7218F"/>
    <w:rsid w:val="00C84C27"/>
    <w:rsid w:val="00C86C3C"/>
    <w:rsid w:val="00C934BE"/>
    <w:rsid w:val="00CA2702"/>
    <w:rsid w:val="00CA4144"/>
    <w:rsid w:val="00CA5BA2"/>
    <w:rsid w:val="00CB0228"/>
    <w:rsid w:val="00CB1156"/>
    <w:rsid w:val="00CB1331"/>
    <w:rsid w:val="00CB20D4"/>
    <w:rsid w:val="00CC1500"/>
    <w:rsid w:val="00CC3606"/>
    <w:rsid w:val="00CD5461"/>
    <w:rsid w:val="00CE305A"/>
    <w:rsid w:val="00CE7B94"/>
    <w:rsid w:val="00CE7E36"/>
    <w:rsid w:val="00CF578F"/>
    <w:rsid w:val="00D00FB8"/>
    <w:rsid w:val="00D05604"/>
    <w:rsid w:val="00D06902"/>
    <w:rsid w:val="00D07244"/>
    <w:rsid w:val="00D105BC"/>
    <w:rsid w:val="00D11AB8"/>
    <w:rsid w:val="00D11E73"/>
    <w:rsid w:val="00D12575"/>
    <w:rsid w:val="00D12E75"/>
    <w:rsid w:val="00D14ED4"/>
    <w:rsid w:val="00D20C23"/>
    <w:rsid w:val="00D212A8"/>
    <w:rsid w:val="00D315CB"/>
    <w:rsid w:val="00D334C4"/>
    <w:rsid w:val="00D3670F"/>
    <w:rsid w:val="00D369CD"/>
    <w:rsid w:val="00D37B02"/>
    <w:rsid w:val="00D37F5E"/>
    <w:rsid w:val="00D42987"/>
    <w:rsid w:val="00D43194"/>
    <w:rsid w:val="00D464D8"/>
    <w:rsid w:val="00D50CA3"/>
    <w:rsid w:val="00D54A2D"/>
    <w:rsid w:val="00D6058E"/>
    <w:rsid w:val="00D615F3"/>
    <w:rsid w:val="00D67BE9"/>
    <w:rsid w:val="00D75071"/>
    <w:rsid w:val="00D84722"/>
    <w:rsid w:val="00D849A1"/>
    <w:rsid w:val="00D86E64"/>
    <w:rsid w:val="00D87FC1"/>
    <w:rsid w:val="00DA561D"/>
    <w:rsid w:val="00DB1675"/>
    <w:rsid w:val="00DB3428"/>
    <w:rsid w:val="00DB503D"/>
    <w:rsid w:val="00DB5F8A"/>
    <w:rsid w:val="00DB641D"/>
    <w:rsid w:val="00DD22DF"/>
    <w:rsid w:val="00DD46D4"/>
    <w:rsid w:val="00DD5C0B"/>
    <w:rsid w:val="00DD66D6"/>
    <w:rsid w:val="00DE2E56"/>
    <w:rsid w:val="00DE35E3"/>
    <w:rsid w:val="00DE486D"/>
    <w:rsid w:val="00DE4DB5"/>
    <w:rsid w:val="00DE5CDE"/>
    <w:rsid w:val="00DF0ADF"/>
    <w:rsid w:val="00E00766"/>
    <w:rsid w:val="00E00CCB"/>
    <w:rsid w:val="00E07B80"/>
    <w:rsid w:val="00E10416"/>
    <w:rsid w:val="00E13DFC"/>
    <w:rsid w:val="00E14529"/>
    <w:rsid w:val="00E146B2"/>
    <w:rsid w:val="00E21ECB"/>
    <w:rsid w:val="00E22B4C"/>
    <w:rsid w:val="00E315E8"/>
    <w:rsid w:val="00E3448A"/>
    <w:rsid w:val="00E42A31"/>
    <w:rsid w:val="00E44076"/>
    <w:rsid w:val="00E47017"/>
    <w:rsid w:val="00E50F8F"/>
    <w:rsid w:val="00E54604"/>
    <w:rsid w:val="00E54B17"/>
    <w:rsid w:val="00E56761"/>
    <w:rsid w:val="00E56AF6"/>
    <w:rsid w:val="00E635A3"/>
    <w:rsid w:val="00E63806"/>
    <w:rsid w:val="00E65A3F"/>
    <w:rsid w:val="00E65D49"/>
    <w:rsid w:val="00E67F4C"/>
    <w:rsid w:val="00E709EB"/>
    <w:rsid w:val="00E80630"/>
    <w:rsid w:val="00E81507"/>
    <w:rsid w:val="00E84E02"/>
    <w:rsid w:val="00E86400"/>
    <w:rsid w:val="00E8777E"/>
    <w:rsid w:val="00E878DA"/>
    <w:rsid w:val="00E934D1"/>
    <w:rsid w:val="00E93F74"/>
    <w:rsid w:val="00E97803"/>
    <w:rsid w:val="00EA51E2"/>
    <w:rsid w:val="00EA67AC"/>
    <w:rsid w:val="00EA76D7"/>
    <w:rsid w:val="00EA7B2A"/>
    <w:rsid w:val="00EC0BAC"/>
    <w:rsid w:val="00EC3168"/>
    <w:rsid w:val="00ED050C"/>
    <w:rsid w:val="00ED5636"/>
    <w:rsid w:val="00EE3346"/>
    <w:rsid w:val="00EE5B9C"/>
    <w:rsid w:val="00EF0C04"/>
    <w:rsid w:val="00EF0EE7"/>
    <w:rsid w:val="00EF2769"/>
    <w:rsid w:val="00EF2D01"/>
    <w:rsid w:val="00F00132"/>
    <w:rsid w:val="00F01545"/>
    <w:rsid w:val="00F01C4F"/>
    <w:rsid w:val="00F12E11"/>
    <w:rsid w:val="00F13D0A"/>
    <w:rsid w:val="00F152B5"/>
    <w:rsid w:val="00F17300"/>
    <w:rsid w:val="00F2000B"/>
    <w:rsid w:val="00F20053"/>
    <w:rsid w:val="00F26283"/>
    <w:rsid w:val="00F31477"/>
    <w:rsid w:val="00F32341"/>
    <w:rsid w:val="00F34282"/>
    <w:rsid w:val="00F34D0B"/>
    <w:rsid w:val="00F35DE9"/>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3178"/>
    <w:rsid w:val="00FD4F82"/>
    <w:rsid w:val="00FD5C69"/>
    <w:rsid w:val="00FD609E"/>
    <w:rsid w:val="00FD7BF2"/>
    <w:rsid w:val="00FD7D82"/>
    <w:rsid w:val="00FE2CC0"/>
    <w:rsid w:val="00FE53CE"/>
    <w:rsid w:val="00FF1678"/>
    <w:rsid w:val="00FF1EFF"/>
    <w:rsid w:val="00FF4F2E"/>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2271</Words>
  <Characters>15675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2017-01-11T07:17:00Z</cp:lastPrinted>
  <dcterms:created xsi:type="dcterms:W3CDTF">2019-01-27T18:47:00Z</dcterms:created>
  <dcterms:modified xsi:type="dcterms:W3CDTF">2019-06-12T13:31:00Z</dcterms:modified>
</cp:coreProperties>
</file>