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AF" w:rsidRDefault="00BB2CAF"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BB2CAF" w:rsidRDefault="00BB2CAF" w:rsidP="00F639FA">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az 1907/2006/EK, az 1272/2008/EK és a 2015/830/EU rendelet szerint</w:t>
      </w:r>
    </w:p>
    <w:p w:rsidR="00BB2CAF" w:rsidRDefault="00BB2CA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BB2CAF" w:rsidRDefault="00BB2CAF"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Just gépi öblítőszer</w:t>
      </w:r>
    </w:p>
    <w:p w:rsidR="00BB2CAF" w:rsidRDefault="00BB2CAF"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tisztítószer</w:t>
      </w:r>
    </w:p>
    <w:p w:rsidR="00BB2CAF" w:rsidRPr="00623045" w:rsidRDefault="00BB2CAF"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BB2CAF" w:rsidRDefault="00BB2CAF"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BB2CAF" w:rsidRPr="0008511E" w:rsidRDefault="00BB2CAF" w:rsidP="00E709EB">
      <w:pPr>
        <w:spacing w:before="40"/>
        <w:ind w:left="425"/>
        <w:rPr>
          <w:rFonts w:ascii="Tahoma" w:hAnsi="Tahoma" w:cs="Tahoma"/>
          <w:b/>
          <w:bCs/>
        </w:rPr>
      </w:pPr>
      <w:r>
        <w:rPr>
          <w:rFonts w:ascii="Tahoma" w:hAnsi="Tahoma" w:cs="Tahoma"/>
          <w:b/>
          <w:bCs/>
        </w:rPr>
        <w:t xml:space="preserve">GIRONDE Kozmetikai és Háztartás </w:t>
      </w:r>
      <w:r w:rsidRPr="0008511E">
        <w:rPr>
          <w:rFonts w:ascii="Tahoma" w:hAnsi="Tahoma" w:cs="Tahoma"/>
          <w:b/>
          <w:bCs/>
        </w:rPr>
        <w:t>vegyipari Termékeket Gyártó és Forgalmazó Kft.</w:t>
      </w:r>
    </w:p>
    <w:p w:rsidR="00BB2CAF" w:rsidRPr="0008511E" w:rsidRDefault="00BB2CAF" w:rsidP="005C50EE">
      <w:pPr>
        <w:tabs>
          <w:tab w:val="left" w:pos="1985"/>
        </w:tabs>
        <w:ind w:left="426"/>
        <w:rPr>
          <w:rFonts w:ascii="Tahoma" w:hAnsi="Tahoma" w:cs="Tahoma"/>
        </w:rPr>
      </w:pPr>
      <w:r w:rsidRPr="0008511E">
        <w:rPr>
          <w:rFonts w:ascii="Tahoma" w:hAnsi="Tahoma" w:cs="Tahoma"/>
        </w:rPr>
        <w:t>H-3333 Terpes, Petőfi út 2 – 4.</w:t>
      </w:r>
    </w:p>
    <w:p w:rsidR="00BB2CAF" w:rsidRDefault="00BB2CAF"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BB2CAF" w:rsidRPr="0008511E" w:rsidRDefault="00BB2CAF" w:rsidP="005C50EE">
      <w:pPr>
        <w:tabs>
          <w:tab w:val="left" w:pos="1985"/>
        </w:tabs>
        <w:ind w:left="426"/>
        <w:rPr>
          <w:rFonts w:ascii="Tahoma" w:hAnsi="Tahoma" w:cs="Tahoma"/>
        </w:rPr>
      </w:pPr>
      <w:r>
        <w:rPr>
          <w:rFonts w:ascii="Tahoma" w:hAnsi="Tahoma" w:cs="Tahoma"/>
        </w:rPr>
        <w:t>honlap: www.gironde.hu</w:t>
      </w:r>
    </w:p>
    <w:p w:rsidR="00BB2CAF" w:rsidRDefault="00BB2CAF"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BB2CAF" w:rsidRPr="004D5835" w:rsidRDefault="00BB2CAF"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BB2CAF" w:rsidRDefault="00BB2CAF"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BB2CAF" w:rsidRDefault="00BB2CAF"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BB2CAF" w:rsidRDefault="00BB2CA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BB2CAF" w:rsidRDefault="00BB2CAF" w:rsidP="00F639FA">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 xml:space="preserve">a gyártó, a </w:t>
      </w:r>
      <w:r w:rsidRPr="008F05F6">
        <w:rPr>
          <w:rFonts w:ascii="Tahoma" w:hAnsi="Tahoma" w:cs="Tahoma"/>
          <w:snapToGrid w:val="0"/>
        </w:rPr>
        <w:t xml:space="preserve">vonatkozó uniós szabályozások </w:t>
      </w:r>
      <w:r>
        <w:rPr>
          <w:rFonts w:ascii="Tahoma" w:hAnsi="Tahoma" w:cs="Tahoma"/>
          <w:snapToGrid w:val="0"/>
        </w:rPr>
        <w:t>a 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p w:rsidR="00BB2CAF" w:rsidRDefault="00BB2CAF" w:rsidP="00F639FA">
      <w:pPr>
        <w:jc w:val="both"/>
        <w:rPr>
          <w:rFonts w:ascii="Tahoma" w:hAnsi="Tahoma" w:cs="Tahoma"/>
          <w:b/>
          <w:bCs/>
        </w:rPr>
      </w:pPr>
    </w:p>
    <w:p w:rsidR="00BB2CAF" w:rsidRDefault="00BB2CAF" w:rsidP="00F639FA">
      <w:pPr>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BB2CAF" w:rsidRDefault="00BB2CAF" w:rsidP="005D6C4F">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BB2CAF" w:rsidRDefault="00BB2CAF" w:rsidP="005D6C4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BB2CAF" w:rsidRPr="00BD425C" w:rsidRDefault="00BB2CAF" w:rsidP="005D6C4F">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BB2CAF" w:rsidRDefault="00BB2CAF" w:rsidP="005D6C4F">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BB2CAF" w:rsidRDefault="00BB2CAF" w:rsidP="005D6C4F">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BB2CAF" w:rsidRPr="008D7648" w:rsidRDefault="00BB2CAF" w:rsidP="008D7648">
      <w:pPr>
        <w:tabs>
          <w:tab w:val="left" w:pos="567"/>
          <w:tab w:val="left" w:pos="742"/>
          <w:tab w:val="left" w:pos="1134"/>
          <w:tab w:val="left" w:pos="4395"/>
        </w:tabs>
        <w:spacing w:before="40"/>
        <w:ind w:firstLine="425"/>
        <w:jc w:val="both"/>
        <w:rPr>
          <w:rFonts w:ascii="Tahoma" w:hAnsi="Tahoma" w:cs="Tahoma"/>
          <w:snapToGrid w:val="0"/>
        </w:rPr>
      </w:pPr>
      <w:r w:rsidRPr="008D7648">
        <w:rPr>
          <w:rFonts w:ascii="Tahoma" w:hAnsi="Tahoma" w:cs="Tahoma"/>
          <w:b/>
          <w:bCs/>
          <w:snapToGrid w:val="0"/>
        </w:rPr>
        <w:t>P103</w:t>
      </w:r>
      <w:r w:rsidRPr="008D7648">
        <w:rPr>
          <w:rFonts w:ascii="Tahoma" w:hAnsi="Tahoma" w:cs="Tahoma"/>
          <w:b/>
          <w:bCs/>
          <w:snapToGrid w:val="0"/>
        </w:rPr>
        <w:tab/>
      </w:r>
      <w:r w:rsidRPr="008D7648">
        <w:rPr>
          <w:rFonts w:ascii="Tahoma" w:hAnsi="Tahoma" w:cs="Tahoma"/>
          <w:snapToGrid w:val="0"/>
        </w:rPr>
        <w:t>Használat előtt olvassa el a címkén közölt információkat.</w:t>
      </w:r>
    </w:p>
    <w:p w:rsidR="00BB2CAF" w:rsidRDefault="00BB2CAF" w:rsidP="005D6C4F">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BB2CAF" w:rsidRDefault="00BB2CAF"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BB2CAF" w:rsidRPr="0094486F" w:rsidRDefault="00BB2CAF"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BB2CAF" w:rsidRDefault="00BB2CAF" w:rsidP="005D6C4F">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bookmarkEnd w:id="0"/>
    <w:p w:rsidR="00BB2CAF" w:rsidRPr="00CF5948" w:rsidRDefault="00BB2CAF" w:rsidP="005D6C4F">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r>
        <w:rPr>
          <w:rFonts w:ascii="Tahoma" w:hAnsi="Tahoma" w:cs="Tahoma"/>
          <w:b/>
          <w:bCs/>
          <w:snapToGrid w:val="0"/>
        </w:rPr>
        <w:t>, információ</w:t>
      </w:r>
    </w:p>
    <w:p w:rsidR="00BB2CAF" w:rsidRDefault="00BB2CAF" w:rsidP="005D6C4F">
      <w:pPr>
        <w:pStyle w:val="BodyTextIndent"/>
        <w:spacing w:before="40"/>
        <w:ind w:left="0"/>
      </w:pPr>
      <w:r w:rsidRPr="00CF5948">
        <w:rPr>
          <w:b/>
          <w:bCs/>
        </w:rPr>
        <w:t>Fizikai-kémiai veszély:</w:t>
      </w:r>
      <w:r w:rsidRPr="00CF5948">
        <w:t xml:space="preserve"> nem lép fel.</w:t>
      </w:r>
      <w:r>
        <w:t xml:space="preserve"> </w:t>
      </w:r>
    </w:p>
    <w:p w:rsidR="00BB2CAF" w:rsidRDefault="00BB2CAF" w:rsidP="005D6C4F">
      <w:pPr>
        <w:pStyle w:val="BodyTextIndent"/>
        <w:spacing w:before="40"/>
        <w:ind w:left="0"/>
      </w:pPr>
      <w:r>
        <w:rPr>
          <w:b/>
          <w:bCs/>
        </w:rPr>
        <w:t>Egészségkárosító veszély:</w:t>
      </w:r>
      <w:r>
        <w:t xml:space="preserve"> szembe jutva irritálhat tartós és többszöri érintkezés esetén. </w:t>
      </w:r>
    </w:p>
    <w:p w:rsidR="00BB2CAF" w:rsidRPr="00C77963" w:rsidRDefault="00BB2CAF" w:rsidP="005D6C4F">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BB2CAF" w:rsidRDefault="00BB2CAF" w:rsidP="005D6C4F">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xml:space="preserve">, </w:t>
      </w:r>
      <w:r>
        <w:rPr>
          <w:rFonts w:ascii="Tahoma" w:hAnsi="Tahoma" w:cs="Tahoma"/>
          <w:b/>
          <w:bCs/>
          <w:snapToGrid w:val="0"/>
        </w:rPr>
        <w:t xml:space="preserve">a </w:t>
      </w:r>
      <w:r w:rsidRPr="00AC31F8">
        <w:rPr>
          <w:rFonts w:ascii="Tahoma" w:hAnsi="Tahoma" w:cs="Tahoma"/>
          <w:b/>
          <w:bCs/>
          <w:snapToGrid w:val="0"/>
        </w:rPr>
        <w:t>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Pr>
          <w:rFonts w:ascii="Tahoma" w:hAnsi="Tahoma" w:cs="Tahoma"/>
          <w:snapToGrid w:val="0"/>
        </w:rPr>
        <w:t>nincs adat.</w:t>
      </w:r>
    </w:p>
    <w:p w:rsidR="00BB2CAF" w:rsidRDefault="00BB2CAF"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BB2CAF" w:rsidRDefault="00BB2CAF"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p w:rsidR="00BB2CAF" w:rsidRDefault="00BB2CAF" w:rsidP="009C0503">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szerint:</w:t>
      </w:r>
      <w:r>
        <w:rPr>
          <w:rFonts w:ascii="Tahoma" w:hAnsi="Tahoma" w:cs="Tahoma"/>
          <w:snapToGrid w:val="0"/>
        </w:rPr>
        <w:t xml:space="preserve"> &lt;5% nemionos felületaktív anyag, Parfum(Limonene), Benzyl Alcohol, Colorant (CI 19140)</w:t>
      </w:r>
    </w:p>
    <w:p w:rsidR="00BB2CAF" w:rsidRDefault="00BB2CAF" w:rsidP="009C0503">
      <w:pPr>
        <w:tabs>
          <w:tab w:val="left" w:pos="426"/>
          <w:tab w:val="left" w:pos="1276"/>
          <w:tab w:val="left" w:pos="6379"/>
        </w:tabs>
        <w:spacing w:before="120" w:after="60"/>
        <w:jc w:val="both"/>
        <w:rPr>
          <w:rFonts w:ascii="Tahoma" w:hAnsi="Tahoma" w:cs="Tahoma"/>
          <w:snapToGrid w:val="0"/>
        </w:rPr>
      </w:pPr>
    </w:p>
    <w:p w:rsidR="00BB2CAF" w:rsidRDefault="00BB2CAF" w:rsidP="009C0503">
      <w:pPr>
        <w:tabs>
          <w:tab w:val="left" w:pos="426"/>
          <w:tab w:val="left" w:pos="1276"/>
          <w:tab w:val="left" w:pos="6379"/>
        </w:tabs>
        <w:spacing w:before="120" w:after="60"/>
        <w:jc w:val="both"/>
        <w:rPr>
          <w:rFonts w:ascii="Tahoma" w:hAnsi="Tahoma" w:cs="Tahoma"/>
          <w:snapToGrid w:val="0"/>
        </w:rPr>
      </w:pPr>
    </w:p>
    <w:p w:rsidR="00BB2CAF" w:rsidRDefault="00BB2CAF" w:rsidP="009C0503">
      <w:pPr>
        <w:tabs>
          <w:tab w:val="left" w:pos="426"/>
          <w:tab w:val="left" w:pos="1276"/>
          <w:tab w:val="left" w:pos="6379"/>
        </w:tabs>
        <w:spacing w:before="120" w:after="60"/>
        <w:jc w:val="both"/>
        <w:rPr>
          <w:rFonts w:ascii="Tahoma" w:hAnsi="Tahoma" w:cs="Tahoma"/>
          <w:snapToGrid w:val="0"/>
          <w:sz w:val="18"/>
          <w:szCs w:val="18"/>
        </w:rPr>
      </w:pPr>
    </w:p>
    <w:tbl>
      <w:tblPr>
        <w:tblW w:w="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33"/>
        <w:gridCol w:w="1361"/>
        <w:gridCol w:w="3685"/>
      </w:tblGrid>
      <w:tr w:rsidR="00BB2CAF" w:rsidRPr="00501707">
        <w:trPr>
          <w:cantSplit/>
          <w:trHeight w:val="335"/>
          <w:jc w:val="center"/>
        </w:trPr>
        <w:tc>
          <w:tcPr>
            <w:tcW w:w="2933" w:type="dxa"/>
            <w:vAlign w:val="center"/>
          </w:tcPr>
          <w:p w:rsidR="00BB2CAF" w:rsidRPr="00501707" w:rsidRDefault="00BB2CAF"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361" w:type="dxa"/>
            <w:vAlign w:val="center"/>
          </w:tcPr>
          <w:p w:rsidR="00BB2CAF" w:rsidRPr="00501707" w:rsidRDefault="00BB2CAF"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685" w:type="dxa"/>
            <w:vAlign w:val="center"/>
          </w:tcPr>
          <w:p w:rsidR="00BB2CAF" w:rsidRPr="00501707" w:rsidRDefault="00BB2CAF" w:rsidP="00E65D49">
            <w:pPr>
              <w:spacing w:before="80"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BB2CAF" w:rsidRPr="0059199F">
        <w:trPr>
          <w:cantSplit/>
          <w:trHeight w:val="335"/>
          <w:jc w:val="center"/>
        </w:trPr>
        <w:tc>
          <w:tcPr>
            <w:tcW w:w="2933" w:type="dxa"/>
            <w:vAlign w:val="center"/>
          </w:tcPr>
          <w:p w:rsidR="00BB2CAF" w:rsidRPr="0059199F" w:rsidRDefault="00BB2CAF" w:rsidP="001316A1">
            <w:pPr>
              <w:tabs>
                <w:tab w:val="left" w:pos="2153"/>
              </w:tabs>
              <w:spacing w:before="20"/>
              <w:ind w:left="57" w:right="215" w:firstLine="249"/>
              <w:rPr>
                <w:rFonts w:ascii="Tahoma" w:hAnsi="Tahoma" w:cs="Tahoma"/>
                <w:sz w:val="18"/>
                <w:szCs w:val="18"/>
              </w:rPr>
            </w:pPr>
            <w:r w:rsidRPr="0059199F">
              <w:rPr>
                <w:rFonts w:ascii="Tahoma" w:hAnsi="Tahoma" w:cs="Tahoma"/>
                <w:sz w:val="18"/>
                <w:szCs w:val="18"/>
              </w:rPr>
              <w:t>Citromsav monohidrát</w:t>
            </w:r>
          </w:p>
          <w:p w:rsidR="00BB2CAF" w:rsidRPr="0059199F" w:rsidRDefault="00BB2CAF" w:rsidP="001316A1">
            <w:pPr>
              <w:tabs>
                <w:tab w:val="left" w:pos="2153"/>
              </w:tabs>
              <w:ind w:left="57" w:right="215" w:firstLine="249"/>
              <w:rPr>
                <w:rFonts w:ascii="Tahoma" w:hAnsi="Tahoma" w:cs="Tahoma"/>
                <w:sz w:val="18"/>
                <w:szCs w:val="18"/>
              </w:rPr>
            </w:pPr>
            <w:r w:rsidRPr="0059199F">
              <w:rPr>
                <w:rFonts w:ascii="Tahoma" w:hAnsi="Tahoma" w:cs="Tahoma"/>
                <w:sz w:val="18"/>
                <w:szCs w:val="18"/>
              </w:rPr>
              <w:t xml:space="preserve">CAS-szám: 5949-29-1 </w:t>
            </w:r>
          </w:p>
          <w:p w:rsidR="00BB2CAF" w:rsidRPr="0059199F" w:rsidRDefault="00BB2CAF" w:rsidP="001316A1">
            <w:pPr>
              <w:tabs>
                <w:tab w:val="left" w:pos="2153"/>
              </w:tabs>
              <w:spacing w:after="40"/>
              <w:ind w:left="57" w:right="215" w:firstLine="249"/>
              <w:rPr>
                <w:rFonts w:ascii="Tahoma" w:hAnsi="Tahoma" w:cs="Tahoma"/>
                <w:sz w:val="18"/>
                <w:szCs w:val="18"/>
              </w:rPr>
            </w:pPr>
            <w:r w:rsidRPr="0059199F">
              <w:rPr>
                <w:rFonts w:ascii="Tahoma" w:hAnsi="Tahoma" w:cs="Tahoma"/>
                <w:sz w:val="18"/>
                <w:szCs w:val="18"/>
              </w:rPr>
              <w:t>EK-szám: 201-069-1</w:t>
            </w:r>
          </w:p>
        </w:tc>
        <w:tc>
          <w:tcPr>
            <w:tcW w:w="1361" w:type="dxa"/>
            <w:vAlign w:val="center"/>
          </w:tcPr>
          <w:p w:rsidR="00BB2CAF" w:rsidRPr="0059199F" w:rsidRDefault="00BB2CAF" w:rsidP="0059199F">
            <w:pPr>
              <w:ind w:left="61" w:right="62"/>
              <w:jc w:val="center"/>
              <w:rPr>
                <w:rFonts w:ascii="Tahoma" w:hAnsi="Tahoma" w:cs="Tahoma"/>
                <w:snapToGrid w:val="0"/>
                <w:sz w:val="18"/>
                <w:szCs w:val="18"/>
              </w:rPr>
            </w:pPr>
            <w:r>
              <w:rPr>
                <w:rFonts w:ascii="Tahoma" w:hAnsi="Tahoma" w:cs="Tahoma"/>
                <w:snapToGrid w:val="0"/>
                <w:sz w:val="18"/>
                <w:szCs w:val="18"/>
              </w:rPr>
              <w:t xml:space="preserve">5 – 10% </w:t>
            </w:r>
          </w:p>
        </w:tc>
        <w:tc>
          <w:tcPr>
            <w:tcW w:w="3685" w:type="dxa"/>
            <w:vAlign w:val="center"/>
          </w:tcPr>
          <w:p w:rsidR="00BB2CAF" w:rsidRPr="0059199F" w:rsidRDefault="00BB2CAF"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CLP: Eye Irrit. 2, H319</w:t>
            </w:r>
          </w:p>
        </w:tc>
      </w:tr>
    </w:tbl>
    <w:p w:rsidR="00BB2CAF" w:rsidRDefault="00BB2CAF" w:rsidP="005D6C4F">
      <w:pPr>
        <w:pStyle w:val="BodyTextIndent"/>
        <w:spacing w:before="120"/>
        <w:ind w:left="0"/>
      </w:pPr>
      <w:r w:rsidRPr="00CC1500">
        <w:t>A gyártó más veszélyes összetevő jelenlétét nem jelzi</w:t>
      </w:r>
      <w:r>
        <w:t>.</w:t>
      </w:r>
    </w:p>
    <w:p w:rsidR="00BB2CAF" w:rsidRPr="00CC1500" w:rsidRDefault="00BB2CAF" w:rsidP="005D6C4F">
      <w:pPr>
        <w:pStyle w:val="BodyTextIndent"/>
        <w:spacing w:before="120"/>
        <w:ind w:left="0"/>
      </w:pPr>
      <w:r>
        <w:t xml:space="preserve">Az </w:t>
      </w:r>
      <w:r w:rsidRPr="00CC1500">
        <w:t xml:space="preserve">egyéb összetevők </w:t>
      </w:r>
      <w:r>
        <w:t xml:space="preserve">(illatanyag-kombináció, tartósítószer, színezék, nemionos felületaktív anyag)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BB2CAF" w:rsidRPr="00CC1500" w:rsidRDefault="00BB2CAF" w:rsidP="005D6C4F">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fenti veszélyjelek</w:t>
      </w:r>
      <w:r w:rsidRPr="00CC1500">
        <w:rPr>
          <w:rFonts w:ascii="Tahoma" w:hAnsi="Tahoma" w:cs="Tahoma"/>
          <w:snapToGrid w:val="0"/>
        </w:rPr>
        <w:t xml:space="preserve"> és H-mondatok a tiszta komponensre vonatkoz</w:t>
      </w:r>
      <w:r>
        <w:rPr>
          <w:rFonts w:ascii="Tahoma" w:hAnsi="Tahoma" w:cs="Tahoma"/>
          <w:snapToGrid w:val="0"/>
        </w:rPr>
        <w:t>nak</w:t>
      </w:r>
      <w:r w:rsidRPr="00CC1500">
        <w:rPr>
          <w:rFonts w:ascii="Tahoma" w:hAnsi="Tahoma" w:cs="Tahoma"/>
          <w:snapToGrid w:val="0"/>
        </w:rPr>
        <w:t>,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BB2CAF" w:rsidRDefault="00BB2C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BB2CAF" w:rsidRPr="005840A9" w:rsidRDefault="00BB2CAF"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BB2CAF" w:rsidRPr="005840A9" w:rsidRDefault="00BB2CAF" w:rsidP="005D6C4F">
      <w:pPr>
        <w:pStyle w:val="BodyTextIndent"/>
        <w:spacing w:before="40"/>
        <w:ind w:left="0"/>
        <w:rPr>
          <w:b/>
          <w:bCs/>
        </w:rPr>
      </w:pPr>
      <w:r w:rsidRPr="005840A9">
        <w:rPr>
          <w:b/>
          <w:bCs/>
        </w:rPr>
        <w:t>4.1. Az elsősegély-nyújtási intézkedések ismertetése</w:t>
      </w:r>
    </w:p>
    <w:p w:rsidR="00BB2CAF" w:rsidRDefault="00BB2CAF" w:rsidP="005D6C4F">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BB2CAF" w:rsidRDefault="00BB2CAF" w:rsidP="005D6C4F">
      <w:pPr>
        <w:pStyle w:val="BodyTextIndent"/>
        <w:spacing w:before="40"/>
        <w:ind w:left="0"/>
      </w:pPr>
      <w:r>
        <w:rPr>
          <w:b/>
          <w:bCs/>
        </w:rPr>
        <w:t>B</w:t>
      </w:r>
      <w:r w:rsidRPr="001451C7">
        <w:rPr>
          <w:b/>
          <w:bCs/>
        </w:rPr>
        <w:t>őrrel való érintkezés esetén:</w:t>
      </w:r>
      <w:r>
        <w:t xml:space="preserve"> szappannal és vízzel mosni, folyó </w:t>
      </w:r>
      <w:r w:rsidRPr="001451C7">
        <w:t>vízzel</w:t>
      </w:r>
      <w:r>
        <w:t xml:space="preserve"> alaposan</w:t>
      </w:r>
      <w:r w:rsidRPr="001451C7">
        <w:t xml:space="preserve"> le kell </w:t>
      </w:r>
      <w:r>
        <w:t>öblíteni.</w:t>
      </w:r>
    </w:p>
    <w:p w:rsidR="00BB2CAF" w:rsidRPr="001451C7" w:rsidRDefault="00BB2CAF" w:rsidP="005D6C4F">
      <w:pPr>
        <w:pStyle w:val="BodyTextIndent"/>
        <w:spacing w:before="20"/>
        <w:ind w:left="0"/>
      </w:pPr>
      <w:r w:rsidRPr="001451C7">
        <w:rPr>
          <w:b/>
          <w:bCs/>
        </w:rPr>
        <w:t>Szembe kerülése esetén:</w:t>
      </w:r>
      <w:r w:rsidRPr="001451C7">
        <w:t xml:space="preserve"> </w:t>
      </w:r>
      <w:r>
        <w:t xml:space="preserve">alapos, legalább 5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BB2CAF" w:rsidRDefault="00BB2CAF" w:rsidP="005D6C4F">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BB2CAF" w:rsidRPr="001C77FE" w:rsidRDefault="00BB2CAF" w:rsidP="005D6C4F">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BB2CAF" w:rsidRPr="00430026" w:rsidRDefault="00BB2CAF" w:rsidP="005D6C4F">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BB2CAF" w:rsidRDefault="00BB2C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BB2CAF" w:rsidRDefault="00BB2CAF"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BB2CAF" w:rsidRPr="0014339B" w:rsidRDefault="00BB2CAF"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BB2CAF" w:rsidRDefault="00BB2CAF"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BB2CAF" w:rsidRPr="0014339B" w:rsidRDefault="00BB2CAF"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BB2CAF" w:rsidRPr="00A254C1" w:rsidRDefault="00BB2CAF" w:rsidP="005D6C4F">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w:t>
      </w:r>
    </w:p>
    <w:p w:rsidR="00BB2CAF" w:rsidRDefault="00BB2CAF"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BB2CAF" w:rsidRPr="00A37543" w:rsidRDefault="00BB2CAF"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BB2CAF" w:rsidRPr="00CB1156" w:rsidRDefault="00BB2CAF"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a kiömlött anyagot közcsatornába, élő vizekbe, talajba juttatni nem szabad! A hulladékkezelés, a megsemmisítés a helyi előírásoknak megfelelően történjen.</w:t>
      </w:r>
    </w:p>
    <w:p w:rsidR="00BB2CAF" w:rsidRDefault="00BB2CAF"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BB2CAF" w:rsidRDefault="00BB2CAF"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BB2CAF" w:rsidRPr="0014339B" w:rsidRDefault="00BB2CAF"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BB2CAF" w:rsidRDefault="00BB2CAF" w:rsidP="009B2A63">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BB2CAF" w:rsidRPr="000E1DD2" w:rsidRDefault="00BB2CAF"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BB2CAF" w:rsidRPr="00293D58" w:rsidRDefault="00BB2CAF" w:rsidP="005D6C4F">
      <w:pPr>
        <w:pStyle w:val="BodyTextIndent"/>
        <w:ind w:left="0"/>
      </w:pPr>
      <w:r w:rsidRPr="008D5244">
        <w:rPr>
          <w:b/>
          <w:bCs/>
        </w:rPr>
        <w:t>Tűz- és robbanásvédelem:</w:t>
      </w:r>
      <w:r w:rsidRPr="008D5244">
        <w:t xml:space="preserve"> speciális intézkedés nem szükséges.</w:t>
      </w:r>
    </w:p>
    <w:p w:rsidR="00BB2CAF" w:rsidRPr="0014339B" w:rsidRDefault="00BB2CAF" w:rsidP="005D6C4F">
      <w:pPr>
        <w:pStyle w:val="BodyTextIndent"/>
        <w:ind w:left="0"/>
        <w:rPr>
          <w:b/>
          <w:bCs/>
        </w:rPr>
      </w:pPr>
      <w:r w:rsidRPr="0014339B">
        <w:rPr>
          <w:b/>
          <w:bCs/>
        </w:rPr>
        <w:t>7.2. A biztonságos tárolás feltételei, az esetleges összeférhetetlenséggel együtt</w:t>
      </w:r>
    </w:p>
    <w:p w:rsidR="00BB2CAF" w:rsidRPr="000E1DD2" w:rsidRDefault="00BB2CAF"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BB2CAF" w:rsidRDefault="00BB2CAF"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tisztítószer</w:t>
      </w:r>
    </w:p>
    <w:p w:rsidR="00BB2CAF" w:rsidRPr="0014339B" w:rsidRDefault="00BB2CAF" w:rsidP="005D6C4F">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BB2CAF" w:rsidRDefault="00BB2CAF"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BB2CAF" w:rsidRDefault="00BB2CAF" w:rsidP="005D6C4F">
      <w:pPr>
        <w:pStyle w:val="BodyTextIndent"/>
        <w:ind w:left="0"/>
        <w:rPr>
          <w:b/>
          <w:bCs/>
        </w:rPr>
      </w:pPr>
      <w:r w:rsidRPr="006E159B">
        <w:rPr>
          <w:b/>
          <w:bCs/>
        </w:rPr>
        <w:t>8.1. Ellenőrzési paraméterek</w:t>
      </w:r>
    </w:p>
    <w:p w:rsidR="00BB2CAF" w:rsidRDefault="00BB2CAF" w:rsidP="005D6C4F">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nem tartalmaz olyan összetevőt, melyre vonatkozólag határérték megállapítás történt.</w:t>
      </w:r>
    </w:p>
    <w:p w:rsidR="00BB2CAF" w:rsidRPr="000564A5" w:rsidRDefault="00BB2CAF" w:rsidP="006711FD">
      <w:pPr>
        <w:tabs>
          <w:tab w:val="left" w:pos="2835"/>
        </w:tabs>
        <w:spacing w:before="60" w:after="120"/>
        <w:ind w:right="62"/>
        <w:rPr>
          <w:rFonts w:ascii="Tahoma" w:hAnsi="Tahoma" w:cs="Tahoma"/>
        </w:rPr>
      </w:pPr>
      <w:r w:rsidRPr="000564A5">
        <w:rPr>
          <w:rFonts w:ascii="Tahoma" w:hAnsi="Tahoma" w:cs="Tahoma"/>
        </w:rPr>
        <w:t>DNEL értékek: a citromsavra nem származtat</w:t>
      </w:r>
      <w:r>
        <w:rPr>
          <w:rFonts w:ascii="Tahoma" w:hAnsi="Tahoma" w:cs="Tahoma"/>
        </w:rPr>
        <w:t>ott</w:t>
      </w:r>
      <w:r w:rsidRPr="000564A5">
        <w:rPr>
          <w:rFonts w:ascii="Tahoma" w:hAnsi="Tahoma" w:cs="Tahoma"/>
        </w:rPr>
        <w:t>.</w:t>
      </w:r>
    </w:p>
    <w:p w:rsidR="00BB2CAF" w:rsidRDefault="00BB2CAF" w:rsidP="005D6C4F">
      <w:pPr>
        <w:pStyle w:val="BodyTextIndent"/>
        <w:spacing w:before="80"/>
        <w:ind w:left="0"/>
        <w:rPr>
          <w:b/>
          <w:bCs/>
        </w:rPr>
      </w:pPr>
      <w:r>
        <w:rPr>
          <w:b/>
          <w:bCs/>
        </w:rPr>
        <w:t>8.3. Személyi védelem</w:t>
      </w:r>
    </w:p>
    <w:p w:rsidR="00BB2CAF" w:rsidRPr="00C46CAC" w:rsidRDefault="00BB2CAF" w:rsidP="009B2A63">
      <w:pPr>
        <w:pStyle w:val="BodyTextIndent"/>
        <w:spacing w:before="0"/>
        <w:ind w:left="0"/>
      </w:pPr>
      <w:r>
        <w:t xml:space="preserve">A termék használata során be kell tartani a vegyi anyagokkal folytatott tevékenységek általános biztonsági és higiénés előírásait. </w:t>
      </w:r>
      <w:r w:rsidRPr="00C46CAC">
        <w:t>Körültekintő munkával, használattal kerüljük el a termék szembejutását!</w:t>
      </w:r>
    </w:p>
    <w:p w:rsidR="00BB2CAF" w:rsidRDefault="00BB2CAF" w:rsidP="005D6C4F">
      <w:pPr>
        <w:pStyle w:val="BodyTextIndent"/>
        <w:spacing w:before="0"/>
        <w:ind w:left="0"/>
      </w:pPr>
      <w:r>
        <w:rPr>
          <w:b/>
          <w:bCs/>
        </w:rPr>
        <w:t xml:space="preserve">Műszaki intézkedések: </w:t>
      </w:r>
      <w:r>
        <w:t>nem szükséges.</w:t>
      </w:r>
    </w:p>
    <w:p w:rsidR="00BB2CAF" w:rsidRDefault="00BB2CAF" w:rsidP="00C46CAC">
      <w:pPr>
        <w:pStyle w:val="BodyTextIndent"/>
        <w:spacing w:before="40"/>
        <w:ind w:left="0"/>
      </w:pPr>
      <w:r>
        <w:rPr>
          <w:b/>
          <w:bCs/>
        </w:rPr>
        <w:t xml:space="preserve">Higiéniai intézkedések: </w:t>
      </w:r>
      <w:r>
        <w:t>tartsuk távol élelmiszerektől, italoktól és takarmányoktól.</w:t>
      </w:r>
    </w:p>
    <w:p w:rsidR="00BB2CAF" w:rsidRDefault="00BB2CAF" w:rsidP="005D6C4F">
      <w:pPr>
        <w:pStyle w:val="BodyTextIndent"/>
        <w:spacing w:before="80"/>
        <w:ind w:left="0"/>
        <w:rPr>
          <w:b/>
          <w:bCs/>
        </w:rPr>
      </w:pPr>
      <w:r w:rsidRPr="00CA2702">
        <w:rPr>
          <w:b/>
          <w:bCs/>
        </w:rPr>
        <w:t>Személyi védőfelszerelések</w:t>
      </w:r>
      <w:r>
        <w:rPr>
          <w:b/>
          <w:bCs/>
        </w:rPr>
        <w:t>:</w:t>
      </w:r>
    </w:p>
    <w:p w:rsidR="00BB2CAF" w:rsidRDefault="00BB2CAF" w:rsidP="00B12268">
      <w:pPr>
        <w:pStyle w:val="BodyTextIndent"/>
        <w:numPr>
          <w:ilvl w:val="0"/>
          <w:numId w:val="34"/>
        </w:numPr>
        <w:tabs>
          <w:tab w:val="clear" w:pos="1701"/>
        </w:tabs>
        <w:spacing w:before="0"/>
        <w:ind w:left="709" w:hanging="283"/>
      </w:pPr>
      <w:r w:rsidRPr="00874D02">
        <w:rPr>
          <w:b/>
          <w:bCs/>
        </w:rPr>
        <w:t>Légutak védelme:</w:t>
      </w:r>
      <w:r w:rsidRPr="00874D02">
        <w:t xml:space="preserve"> nem szükséges</w:t>
      </w:r>
      <w:r>
        <w:t>.</w:t>
      </w:r>
    </w:p>
    <w:p w:rsidR="00BB2CAF" w:rsidRPr="00CA2702" w:rsidRDefault="00BB2CAF" w:rsidP="00B12268">
      <w:pPr>
        <w:pStyle w:val="BodyTextIndent"/>
        <w:numPr>
          <w:ilvl w:val="0"/>
          <w:numId w:val="34"/>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BB2CAF" w:rsidRPr="00B12268" w:rsidRDefault="00BB2CAF" w:rsidP="00B12268">
      <w:pPr>
        <w:pStyle w:val="BodyTextIndent"/>
        <w:numPr>
          <w:ilvl w:val="0"/>
          <w:numId w:val="34"/>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BB2CAF" w:rsidRPr="000376BB" w:rsidRDefault="00BB2CAF" w:rsidP="005D6C4F">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BB2CAF" w:rsidRDefault="00BB2CAF"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BB2CAF" w:rsidRDefault="00BB2CAF"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BB2CAF" w:rsidRDefault="00BB2CAF"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BB2CAF" w:rsidRDefault="00BB2CAF"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BB2CAF" w:rsidRDefault="00BB2CAF"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BB2CAF" w:rsidRPr="00DE2E56" w:rsidRDefault="00BB2CAF"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BB2CAF" w:rsidRDefault="00BB2CAF"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2 – 3 </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BB2CAF" w:rsidRDefault="00BB2CAF"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BB2CAF" w:rsidRDefault="00BB2CAF"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BB2CAF" w:rsidRDefault="00BB2CAF"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vízhez hasonló</w:t>
      </w:r>
    </w:p>
    <w:p w:rsidR="00BB2CAF" w:rsidRDefault="00BB2CAF"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BB2CAF" w:rsidRDefault="00BB2CAF" w:rsidP="009B2A63">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BB2CAF" w:rsidRPr="00530275" w:rsidRDefault="00BB2CAF"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BB2CAF" w:rsidRPr="00530275" w:rsidRDefault="00BB2CAF"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BB2CAF" w:rsidRPr="00D80FB5" w:rsidRDefault="00BB2CAF"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0564A5">
        <w:rPr>
          <w:rFonts w:ascii="Tahoma" w:hAnsi="Tahoma" w:cs="Tahoma"/>
          <w:snapToGrid w:val="0"/>
        </w:rPr>
        <w:t>lúgok</w:t>
      </w:r>
      <w:r w:rsidRPr="00D80FB5">
        <w:rPr>
          <w:rFonts w:ascii="Tahoma" w:hAnsi="Tahoma" w:cs="Tahoma"/>
          <w:snapToGrid w:val="0"/>
        </w:rPr>
        <w:t>, oxidálószerek.</w:t>
      </w:r>
    </w:p>
    <w:p w:rsidR="00BB2CAF" w:rsidRDefault="00BB2CAF"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BB2CAF" w:rsidRDefault="00BB2CAF"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Pr>
          <w:rFonts w:ascii="Tahoma" w:hAnsi="Tahoma" w:cs="Tahoma"/>
        </w:rPr>
        <w:t>lúgok, oxidálószerek, nitritek.</w:t>
      </w:r>
    </w:p>
    <w:p w:rsidR="00BB2CAF" w:rsidRPr="00530275" w:rsidRDefault="00BB2CAF"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BB2CAF" w:rsidRDefault="00BB2C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BB2CAF" w:rsidRDefault="00BB2CAF" w:rsidP="005D6C4F">
      <w:pPr>
        <w:pStyle w:val="BodyTextIndent"/>
        <w:spacing w:before="0"/>
        <w:ind w:left="0"/>
      </w:pPr>
      <w:r w:rsidRPr="006F495B">
        <w:rPr>
          <w:b/>
          <w:bCs/>
        </w:rPr>
        <w:t>11.1. Toxi</w:t>
      </w:r>
      <w:r>
        <w:rPr>
          <w:b/>
          <w:bCs/>
        </w:rPr>
        <w:t>kológiai hatásokra vonatkozó információk</w:t>
      </w:r>
    </w:p>
    <w:p w:rsidR="00BB2CAF" w:rsidRPr="0065764C" w:rsidRDefault="00BB2CAF" w:rsidP="005D6C4F">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r>
        <w:rPr>
          <w:rFonts w:ascii="Tahoma" w:hAnsi="Tahoma" w:cs="Tahoma"/>
        </w:rPr>
        <w:t xml:space="preserve"> A termék nem osztályozandó egészségi veszélyt jelentő keveréknek.</w:t>
      </w:r>
    </w:p>
    <w:p w:rsidR="00BB2CAF" w:rsidRDefault="00BB2CAF" w:rsidP="005D6C4F">
      <w:pPr>
        <w:pStyle w:val="BodyTextIndent"/>
        <w:ind w:left="0"/>
        <w:rPr>
          <w:b/>
          <w:bCs/>
        </w:rPr>
      </w:pPr>
      <w:r>
        <w:rPr>
          <w:b/>
          <w:bCs/>
        </w:rPr>
        <w:t xml:space="preserve">Primer irritációs hatások: </w:t>
      </w:r>
    </w:p>
    <w:p w:rsidR="00BB2CAF" w:rsidRDefault="00BB2CAF" w:rsidP="005D6C4F">
      <w:pPr>
        <w:pStyle w:val="BodyTextIndent"/>
        <w:spacing w:before="0"/>
        <w:ind w:left="0" w:firstLine="426"/>
      </w:pPr>
      <w:r>
        <w:rPr>
          <w:b/>
          <w:bCs/>
        </w:rPr>
        <w:t xml:space="preserve">Bőr: </w:t>
      </w:r>
      <w:r w:rsidRPr="00FD4F82">
        <w:t>nem irritál</w:t>
      </w:r>
      <w:r>
        <w:t>.</w:t>
      </w:r>
    </w:p>
    <w:p w:rsidR="00BB2CAF" w:rsidRDefault="00BB2CAF" w:rsidP="005D6C4F">
      <w:pPr>
        <w:pStyle w:val="BodyTextIndent"/>
        <w:spacing w:before="0"/>
        <w:ind w:left="0" w:firstLine="426"/>
        <w:rPr>
          <w:b/>
          <w:bCs/>
        </w:rPr>
      </w:pPr>
      <w:r>
        <w:rPr>
          <w:b/>
          <w:bCs/>
        </w:rPr>
        <w:t xml:space="preserve">Szem: </w:t>
      </w:r>
      <w:r w:rsidRPr="001316A1">
        <w:t>nem irritál,</w:t>
      </w:r>
      <w:r>
        <w:rPr>
          <w:b/>
          <w:bCs/>
        </w:rPr>
        <w:t xml:space="preserve"> </w:t>
      </w:r>
      <w:r>
        <w:t>irritálhat tartós és többszöri érintkezés esetén.</w:t>
      </w:r>
      <w:r w:rsidRPr="00FD4F82">
        <w:t xml:space="preserve"> </w:t>
      </w:r>
    </w:p>
    <w:p w:rsidR="00BB2CAF" w:rsidRDefault="00BB2CAF" w:rsidP="005D6C4F">
      <w:pPr>
        <w:pStyle w:val="BodyTextIndent"/>
        <w:spacing w:before="0"/>
        <w:ind w:left="0" w:firstLine="426"/>
        <w:rPr>
          <w:b/>
          <w:bCs/>
        </w:rPr>
      </w:pPr>
      <w:r>
        <w:rPr>
          <w:b/>
          <w:bCs/>
        </w:rPr>
        <w:t>Szenzibilizáció:</w:t>
      </w:r>
      <w:r w:rsidRPr="00FD4F82">
        <w:t xml:space="preserve"> szenzibilizáló hatás nem ismert.</w:t>
      </w:r>
    </w:p>
    <w:p w:rsidR="00BB2CAF" w:rsidRDefault="00BB2CAF" w:rsidP="005D6C4F">
      <w:pPr>
        <w:pStyle w:val="BodyTextIndent"/>
        <w:ind w:left="0"/>
      </w:pPr>
      <w:r>
        <w:rPr>
          <w:b/>
          <w:bCs/>
        </w:rPr>
        <w:t xml:space="preserve">11.2. További információ: </w:t>
      </w:r>
      <w:r w:rsidRPr="00FD4F82">
        <w:t>előírás- és rendeltetésszerű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BB2CAF" w:rsidRDefault="00BB2C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BB2CAF" w:rsidRDefault="00BB2CAF" w:rsidP="005D6C4F">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BB2CAF" w:rsidRPr="001316A1" w:rsidRDefault="00BB2CAF" w:rsidP="004A2824">
      <w:pPr>
        <w:pStyle w:val="BodyTextIndent"/>
        <w:spacing w:before="40"/>
        <w:ind w:left="0"/>
      </w:pPr>
      <w:r w:rsidRPr="001316A1">
        <w:t>A citromsav: L</w:t>
      </w:r>
      <w:r w:rsidRPr="001316A1">
        <w:rPr>
          <w:vertAlign w:val="subscript"/>
        </w:rPr>
        <w:t>50</w:t>
      </w:r>
      <w:r w:rsidRPr="001316A1">
        <w:t xml:space="preserve"> (hal, 98 óra): 440 mg/</w:t>
      </w:r>
      <w:r>
        <w:t>l</w:t>
      </w:r>
      <w:r w:rsidRPr="001316A1">
        <w:t>; LC</w:t>
      </w:r>
      <w:r w:rsidRPr="001316A1">
        <w:rPr>
          <w:vertAlign w:val="subscript"/>
        </w:rPr>
        <w:t>50</w:t>
      </w:r>
      <w:r w:rsidRPr="001316A1">
        <w:t xml:space="preserve"> (</w:t>
      </w:r>
      <w:r w:rsidRPr="001316A1">
        <w:rPr>
          <w:i/>
          <w:iCs/>
        </w:rPr>
        <w:t xml:space="preserve">Daphnia magna, </w:t>
      </w:r>
      <w:r w:rsidRPr="001316A1">
        <w:t>48 óra): 1535 mg/l</w:t>
      </w:r>
    </w:p>
    <w:p w:rsidR="00BB2CAF" w:rsidRDefault="00BB2CAF"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 xml:space="preserve"> </w:t>
      </w:r>
      <w:r w:rsidRPr="00A70C8D">
        <w:t>megfelel</w:t>
      </w:r>
      <w:r>
        <w:t xml:space="preserve"> </w:t>
      </w:r>
      <w:r w:rsidRPr="00A70C8D">
        <w:t>a 648/2004/EK rendeletben előírt biológiai lebomlási kritériumoknak</w:t>
      </w:r>
      <w:r>
        <w:t xml:space="preserve">, könnyen és gyorsan lebontható. </w:t>
      </w:r>
      <w:r w:rsidRPr="00A70C8D">
        <w:t>Az ezt alátámasztó adatok mindenkor a tagállamok illetékes szerveinek a rendelkezésére állnak, és közvetlen kérésükre vagy a tisztítószer gyártó kérésére megtekinthetők.</w:t>
      </w:r>
      <w:r>
        <w:t xml:space="preserve"> A citromsav biológiailag lebontható.</w:t>
      </w:r>
    </w:p>
    <w:p w:rsidR="00BB2CAF" w:rsidRDefault="00BB2CAF"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 nem várható.</w:t>
      </w:r>
    </w:p>
    <w:p w:rsidR="00BB2CAF" w:rsidRDefault="00BB2CAF"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BB2CAF" w:rsidRDefault="00BB2CAF" w:rsidP="004A2824">
      <w:pPr>
        <w:pStyle w:val="BodyTextIndent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citromsav nem PBT anyag.</w:t>
      </w:r>
    </w:p>
    <w:p w:rsidR="00BB2CAF" w:rsidRPr="001A71E5" w:rsidRDefault="00BB2CAF" w:rsidP="004A2824">
      <w:pPr>
        <w:pStyle w:val="BodyTextIndent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BB2CAF" w:rsidRDefault="00BB2CAF"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BB2CAF" w:rsidRDefault="00BB2CAF" w:rsidP="005D6C4F">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BB2CAF" w:rsidRDefault="00BB2CAF" w:rsidP="005D6C4F">
      <w:pPr>
        <w:pStyle w:val="BodyTextIndent"/>
        <w:spacing w:before="0"/>
        <w:ind w:left="0"/>
        <w:rPr>
          <w:spacing w:val="-2"/>
        </w:rPr>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xml:space="preserve">. </w:t>
      </w:r>
    </w:p>
    <w:p w:rsidR="00BB2CAF" w:rsidRDefault="00BB2CAF" w:rsidP="005D6C4F">
      <w:pPr>
        <w:pStyle w:val="BodyTextIndent"/>
        <w:spacing w:before="0"/>
        <w:ind w:left="0"/>
      </w:pPr>
      <w:r>
        <w:rPr>
          <w:spacing w:val="-2"/>
        </w:rPr>
        <w:t>Kis mennyiségek háztartási hulladékként kezelhetőek.</w:t>
      </w:r>
    </w:p>
    <w:p w:rsidR="00BB2CAF" w:rsidRDefault="00BB2CAF"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BB2CAF" w:rsidRDefault="00BB2CAF"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 hulladék</w:t>
      </w:r>
    </w:p>
    <w:p w:rsidR="00BB2CAF" w:rsidRPr="001F6E55" w:rsidRDefault="00BB2CAF"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BB2CAF" w:rsidRPr="001F6E55" w:rsidRDefault="00BB2CAF"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BB2CAF" w:rsidRDefault="00BB2CAF" w:rsidP="005D6C4F">
      <w:pPr>
        <w:pStyle w:val="BodyTextIndent"/>
        <w:ind w:left="0"/>
      </w:pPr>
      <w:r w:rsidRPr="00AF549D">
        <w:t>A csomagolási hulladékkal kapcsolatos hulladékgazdálkodási tevékenységet a 442/2012. (XII.29.) Kormányrendelet szabályozza.</w:t>
      </w:r>
    </w:p>
    <w:p w:rsidR="00BB2CAF" w:rsidRDefault="00BB2CAF" w:rsidP="009B2A63">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BB2CAF" w:rsidRPr="007E27A7" w:rsidRDefault="00BB2CAF"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BB2CAF" w:rsidRDefault="00BB2C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BB2CAF" w:rsidRDefault="00BB2CAF" w:rsidP="005D6C4F">
      <w:pPr>
        <w:pStyle w:val="BodyTextIndent"/>
        <w:ind w:left="0"/>
        <w:rPr>
          <w:b/>
          <w:bCs/>
        </w:rPr>
      </w:pPr>
      <w:r>
        <w:rPr>
          <w:b/>
          <w:bCs/>
        </w:rPr>
        <w:t>15.1. A keverékkel kapcsolatos biztonsági, egészségügyi és környezetvédelmi előírások/jogszabályok</w:t>
      </w:r>
    </w:p>
    <w:p w:rsidR="00BB2CAF" w:rsidRDefault="00BB2CAF" w:rsidP="005D6C4F">
      <w:pPr>
        <w:pStyle w:val="BodyTextIndent"/>
        <w:keepNext/>
        <w:widowControl w:val="0"/>
        <w:spacing w:before="80"/>
        <w:ind w:left="0"/>
        <w:rPr>
          <w:b/>
          <w:bCs/>
        </w:rPr>
      </w:pPr>
      <w:r>
        <w:rPr>
          <w:b/>
          <w:bCs/>
        </w:rPr>
        <w:t>Vonatkozó közösségi joganyagok</w:t>
      </w:r>
    </w:p>
    <w:p w:rsidR="00BB2CAF" w:rsidRDefault="00BB2CAF" w:rsidP="004E6AD5">
      <w:pPr>
        <w:pStyle w:val="BodyTextIndent"/>
        <w:widowControl w:val="0"/>
        <w:ind w:left="0"/>
      </w:pPr>
      <w:r w:rsidRPr="00A74252">
        <w:t>REACH rendelet: 1907/2006/EK és módosításai</w:t>
      </w:r>
      <w:r>
        <w:t>;</w:t>
      </w:r>
    </w:p>
    <w:p w:rsidR="00BB2CAF" w:rsidRPr="00A74252" w:rsidRDefault="00BB2CAF" w:rsidP="004E6AD5">
      <w:pPr>
        <w:pStyle w:val="BodyTextIndent"/>
        <w:widowControl w:val="0"/>
        <w:ind w:left="0"/>
      </w:pPr>
      <w:r w:rsidRPr="00A74252">
        <w:t>CLP</w:t>
      </w:r>
      <w:r>
        <w:t xml:space="preserve"> </w:t>
      </w:r>
      <w:r w:rsidRPr="00A74252">
        <w:t>rendelet: 1272/2008/EK és módosításai</w:t>
      </w:r>
      <w:r>
        <w:t>;</w:t>
      </w:r>
    </w:p>
    <w:p w:rsidR="00BB2CAF" w:rsidRPr="00A229DB" w:rsidRDefault="00BB2CAF" w:rsidP="004E6AD5">
      <w:pPr>
        <w:pStyle w:val="BodyTextIndent"/>
        <w:spacing w:before="40"/>
        <w:ind w:left="0"/>
      </w:pPr>
      <w:r>
        <w:t>Tisztítószer-rendelet: 648/2004/EK és módosításai;</w:t>
      </w:r>
    </w:p>
    <w:p w:rsidR="00BB2CAF" w:rsidRDefault="00BB2CAF" w:rsidP="004E6AD5">
      <w:pPr>
        <w:pStyle w:val="BodyTextIndent"/>
        <w:spacing w:before="40"/>
        <w:ind w:left="0"/>
      </w:pPr>
      <w:r>
        <w:t>98/24/EK irányelve a munkájuk során vegyi anyagokkal kapcsolatos kockázatoknak kitett munkavállalók egészségének, biztonságának védelméről;</w:t>
      </w:r>
    </w:p>
    <w:p w:rsidR="00BB2CAF" w:rsidRDefault="00BB2CAF" w:rsidP="004E6AD5">
      <w:pPr>
        <w:pStyle w:val="BodyTextIndent"/>
        <w:spacing w:before="40"/>
        <w:ind w:left="0"/>
      </w:pPr>
      <w:r>
        <w:t>Foglalkozási expozíciós határértékek: 91/322/EK rendelet és módosítása; 2000/39/EK irányelv és módosításai.</w:t>
      </w:r>
    </w:p>
    <w:p w:rsidR="00BB2CAF" w:rsidRDefault="00BB2CAF" w:rsidP="004E6AD5">
      <w:pPr>
        <w:pStyle w:val="BodyTextIndent"/>
        <w:spacing w:before="40"/>
        <w:ind w:left="0"/>
      </w:pPr>
      <w:r>
        <w:t>2008/98/EK irányelv a hulladékokról</w:t>
      </w:r>
    </w:p>
    <w:p w:rsidR="00BB2CAF" w:rsidRPr="008D4C21" w:rsidRDefault="00BB2CAF" w:rsidP="005D6C4F">
      <w:pPr>
        <w:pStyle w:val="BodyTextIndent"/>
        <w:keepNext/>
        <w:widowControl w:val="0"/>
        <w:spacing w:before="80"/>
        <w:ind w:left="0"/>
        <w:rPr>
          <w:b/>
          <w:bCs/>
        </w:rPr>
      </w:pPr>
      <w:r w:rsidRPr="008D4C21">
        <w:rPr>
          <w:b/>
          <w:bCs/>
        </w:rPr>
        <w:t>Vonatkozó nemzeti joganyagok</w:t>
      </w:r>
    </w:p>
    <w:p w:rsidR="00BB2CAF" w:rsidRPr="00B27141" w:rsidRDefault="00BB2CAF" w:rsidP="004E6AD5">
      <w:pPr>
        <w:pStyle w:val="BodyTextIndent"/>
        <w:spacing w:before="40"/>
        <w:ind w:left="1701" w:hanging="1701"/>
      </w:pPr>
      <w:r w:rsidRPr="00B27141">
        <w:t>Munkavédelem:</w:t>
      </w:r>
      <w:r w:rsidRPr="00B27141">
        <w:tab/>
        <w:t>az 1993. évi XCIII. törvény a munkavédelemről; 25/2000. (IX.30.) EüM-SzCsM együttes rendelet a munkahelyek kémiai biztonságáról; 33/1998. (VI.24.) NM rendelet a munkaköri, szakmai, illetve személyi higiénés alkalmasság orvosi vizsgálatáról és véleményezéséről; 3/2002. (II.8.) SzCsM-EüM együttes rendelet a munkahelyek munkavédelmi követelményeinek minimális szintjéről;</w:t>
      </w:r>
    </w:p>
    <w:p w:rsidR="00BB2CAF" w:rsidRPr="00B27141" w:rsidRDefault="00BB2CAF" w:rsidP="004E6AD5">
      <w:pPr>
        <w:pStyle w:val="BodyTextIndent"/>
        <w:spacing w:before="40"/>
        <w:ind w:left="1701" w:hanging="1701"/>
      </w:pPr>
      <w:r w:rsidRPr="00B27141">
        <w:t>Kémiai biztonság:</w:t>
      </w:r>
      <w:r w:rsidRPr="00B2714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B2CAF" w:rsidRPr="00B27141" w:rsidRDefault="00BB2CAF" w:rsidP="004E6AD5">
      <w:pPr>
        <w:pStyle w:val="BodyTextIndent"/>
        <w:spacing w:before="40"/>
        <w:ind w:left="1701" w:hanging="1701"/>
      </w:pPr>
      <w:r w:rsidRPr="00B27141">
        <w:t>Környezetvédelem:</w:t>
      </w:r>
      <w:r w:rsidRPr="00B27141">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BB2CAF" w:rsidRPr="00B27141" w:rsidRDefault="00BB2CAF" w:rsidP="004E6AD5">
      <w:pPr>
        <w:pStyle w:val="BodyTextIndent"/>
        <w:widowControl w:val="0"/>
        <w:spacing w:before="40"/>
        <w:ind w:left="1701" w:hanging="1701"/>
      </w:pPr>
      <w:r w:rsidRPr="00B27141">
        <w:t>Tűzvédelem:</w:t>
      </w:r>
      <w:r w:rsidRPr="00B27141">
        <w:tab/>
        <w:t>az 1996. évi XXXI. törvény a tűz elleni védekezésről, a műszaki mentésről és a tűzoltóságról; az 54/2014. (XII.5.) BM rendelet az Országos Tűzvédelmi Szabályzatról</w:t>
      </w:r>
    </w:p>
    <w:p w:rsidR="00BB2CAF" w:rsidRPr="00CA61B2" w:rsidRDefault="00BB2CAF"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BB2CAF" w:rsidRDefault="00BB2C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BB2CAF" w:rsidRDefault="00BB2CAF" w:rsidP="004E6AD5">
      <w:pPr>
        <w:pStyle w:val="BodyTextIndent"/>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w:t>
      </w:r>
    </w:p>
    <w:p w:rsidR="00BB2CAF" w:rsidRDefault="00BB2CAF" w:rsidP="004E6AD5">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BB2CAF" w:rsidRDefault="00BB2CAF" w:rsidP="004E6AD5">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helytelen használatból adódó következményekért.</w:t>
      </w:r>
    </w:p>
    <w:p w:rsidR="00BB2CAF" w:rsidRDefault="00BB2CAF" w:rsidP="00C46CAC">
      <w:pPr>
        <w:pStyle w:val="BodyTextIndent"/>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BB2CAF" w:rsidRPr="006B2FFA" w:rsidRDefault="00BB2CAF" w:rsidP="005D6C4F">
      <w:pPr>
        <w:tabs>
          <w:tab w:val="left" w:pos="1100"/>
        </w:tabs>
        <w:spacing w:before="120"/>
        <w:jc w:val="both"/>
        <w:rPr>
          <w:rFonts w:ascii="Tahoma" w:hAnsi="Tahoma" w:cs="Tahoma"/>
          <w:snapToGrid w:val="0"/>
        </w:rPr>
      </w:pPr>
      <w:r>
        <w:rPr>
          <w:rFonts w:ascii="Tahoma" w:hAnsi="Tahoma" w:cs="Tahoma"/>
          <w:b/>
          <w:bCs/>
          <w:snapToGrid w:val="0"/>
        </w:rPr>
        <w:t>A CLP-v</w:t>
      </w:r>
      <w:r w:rsidRPr="006B2FFA">
        <w:rPr>
          <w:rFonts w:ascii="Tahoma" w:hAnsi="Tahoma" w:cs="Tahoma"/>
          <w:b/>
          <w:bCs/>
          <w:snapToGrid w:val="0"/>
        </w:rPr>
        <w:t>eszélyosztályok rövidítései</w:t>
      </w:r>
      <w:r>
        <w:rPr>
          <w:rFonts w:ascii="Tahoma" w:hAnsi="Tahoma" w:cs="Tahoma"/>
          <w:b/>
          <w:bCs/>
          <w:snapToGrid w:val="0"/>
        </w:rPr>
        <w:t xml:space="preserve">, </w:t>
      </w:r>
      <w:r w:rsidRPr="006B2FFA">
        <w:rPr>
          <w:rFonts w:ascii="Tahoma" w:hAnsi="Tahoma" w:cs="Tahoma"/>
          <w:snapToGrid w:val="0"/>
        </w:rPr>
        <w:t xml:space="preserve">a rövidítések utáni </w:t>
      </w:r>
      <w:r>
        <w:rPr>
          <w:rFonts w:ascii="Tahoma" w:hAnsi="Tahoma" w:cs="Tahoma"/>
          <w:snapToGrid w:val="0"/>
        </w:rPr>
        <w:t xml:space="preserve">(1-4) </w:t>
      </w:r>
      <w:r w:rsidRPr="006B2FFA">
        <w:rPr>
          <w:rFonts w:ascii="Tahoma" w:hAnsi="Tahoma" w:cs="Tahoma"/>
          <w:snapToGrid w:val="0"/>
        </w:rPr>
        <w:t xml:space="preserve">számok, az osztályon belüli kategóriát jelölik meg, a nagyobb számok kisebb veszélyt jelentenek: </w:t>
      </w:r>
    </w:p>
    <w:p w:rsidR="00BB2CAF" w:rsidRPr="000564A5" w:rsidRDefault="00BB2CAF"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BB2CAF" w:rsidRPr="006553AB" w:rsidRDefault="00BB2CAF" w:rsidP="004E6AD5">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2017. május 31-én, melyet felülvizsgáltak 2019. május 27-én.</w:t>
      </w:r>
    </w:p>
    <w:p w:rsidR="00BB2CAF" w:rsidRPr="006553AB" w:rsidRDefault="00BB2CAF" w:rsidP="005D6C4F">
      <w:pPr>
        <w:tabs>
          <w:tab w:val="left" w:pos="0"/>
          <w:tab w:val="left" w:pos="1134"/>
        </w:tabs>
        <w:autoSpaceDE w:val="0"/>
        <w:autoSpaceDN w:val="0"/>
        <w:adjustRightInd w:val="0"/>
        <w:spacing w:before="120"/>
        <w:jc w:val="both"/>
        <w:rPr>
          <w:sz w:val="18"/>
          <w:szCs w:val="18"/>
        </w:rPr>
      </w:pPr>
    </w:p>
    <w:sectPr w:rsidR="00BB2CAF"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AF" w:rsidRDefault="00BB2CAF">
      <w:r>
        <w:separator/>
      </w:r>
    </w:p>
  </w:endnote>
  <w:endnote w:type="continuationSeparator" w:id="0">
    <w:p w:rsidR="00BB2CAF" w:rsidRDefault="00BB2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AF" w:rsidRDefault="00BB2CAF">
      <w:r>
        <w:separator/>
      </w:r>
    </w:p>
  </w:footnote>
  <w:footnote w:type="continuationSeparator" w:id="0">
    <w:p w:rsidR="00BB2CAF" w:rsidRDefault="00BB2CAF">
      <w:r>
        <w:continuationSeparator/>
      </w:r>
    </w:p>
  </w:footnote>
  <w:footnote w:id="1">
    <w:p w:rsidR="00BB2CAF" w:rsidRDefault="00BB2CAF" w:rsidP="00F639FA">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AF" w:rsidRDefault="00BB2CAF"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gépi Öblítőszer</w:t>
    </w:r>
    <w:r>
      <w:rPr>
        <w:rFonts w:ascii="Tahoma" w:hAnsi="Tahoma" w:cs="Tahoma"/>
        <w:noProof/>
        <w:sz w:val="14"/>
        <w:szCs w:val="14"/>
      </w:rPr>
      <w:tab/>
    </w:r>
  </w:p>
  <w:p w:rsidR="00BB2CAF" w:rsidRDefault="00BB2CAF"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BB2CAF" w:rsidRDefault="00BB2CAF"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2017. május 31.</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p>
  <w:p w:rsidR="00BB2CAF" w:rsidRDefault="00BB2CAF"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1"/>
  </w:num>
  <w:num w:numId="15">
    <w:abstractNumId w:val="7"/>
  </w:num>
  <w:num w:numId="16">
    <w:abstractNumId w:val="21"/>
  </w:num>
  <w:num w:numId="17">
    <w:abstractNumId w:val="19"/>
  </w:num>
  <w:num w:numId="18">
    <w:abstractNumId w:val="22"/>
  </w:num>
  <w:num w:numId="19">
    <w:abstractNumId w:val="17"/>
  </w:num>
  <w:num w:numId="20">
    <w:abstractNumId w:val="3"/>
  </w:num>
  <w:num w:numId="21">
    <w:abstractNumId w:val="12"/>
  </w:num>
  <w:num w:numId="22">
    <w:abstractNumId w:val="6"/>
  </w:num>
  <w:num w:numId="23">
    <w:abstractNumId w:val="2"/>
  </w:num>
  <w:num w:numId="24">
    <w:abstractNumId w:val="15"/>
  </w:num>
  <w:num w:numId="25">
    <w:abstractNumId w:val="8"/>
  </w:num>
  <w:num w:numId="26">
    <w:abstractNumId w:val="14"/>
  </w:num>
  <w:num w:numId="27">
    <w:abstractNumId w:val="4"/>
  </w:num>
  <w:num w:numId="28">
    <w:abstractNumId w:val="20"/>
  </w:num>
  <w:num w:numId="29">
    <w:abstractNumId w:val="9"/>
  </w:num>
  <w:num w:numId="30">
    <w:abstractNumId w:val="23"/>
  </w:num>
  <w:num w:numId="31">
    <w:abstractNumId w:val="13"/>
  </w:num>
  <w:num w:numId="32">
    <w:abstractNumId w:val="1"/>
  </w:num>
  <w:num w:numId="33">
    <w:abstractNumId w:val="18"/>
  </w:num>
  <w:num w:numId="34">
    <w:abstractNumId w:val="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7104"/>
    <w:rsid w:val="000376BB"/>
    <w:rsid w:val="00040A53"/>
    <w:rsid w:val="00052853"/>
    <w:rsid w:val="00054727"/>
    <w:rsid w:val="00054FA8"/>
    <w:rsid w:val="000564A5"/>
    <w:rsid w:val="000568BF"/>
    <w:rsid w:val="00060AEA"/>
    <w:rsid w:val="00077F0C"/>
    <w:rsid w:val="00080769"/>
    <w:rsid w:val="00084965"/>
    <w:rsid w:val="0008511E"/>
    <w:rsid w:val="00087B12"/>
    <w:rsid w:val="00090B0D"/>
    <w:rsid w:val="00097A4E"/>
    <w:rsid w:val="000A03A4"/>
    <w:rsid w:val="000A17CF"/>
    <w:rsid w:val="000A1905"/>
    <w:rsid w:val="000A36D7"/>
    <w:rsid w:val="000A584D"/>
    <w:rsid w:val="000B03BD"/>
    <w:rsid w:val="000B35E5"/>
    <w:rsid w:val="000C05BE"/>
    <w:rsid w:val="000C1EB0"/>
    <w:rsid w:val="000C570C"/>
    <w:rsid w:val="000C6C21"/>
    <w:rsid w:val="000D0B10"/>
    <w:rsid w:val="000E1DD2"/>
    <w:rsid w:val="000E4A43"/>
    <w:rsid w:val="000E51C7"/>
    <w:rsid w:val="000F0E73"/>
    <w:rsid w:val="000F1C1A"/>
    <w:rsid w:val="00100203"/>
    <w:rsid w:val="001007CD"/>
    <w:rsid w:val="00101AF6"/>
    <w:rsid w:val="00102AFA"/>
    <w:rsid w:val="001063D0"/>
    <w:rsid w:val="001179C0"/>
    <w:rsid w:val="0012223F"/>
    <w:rsid w:val="00123D5E"/>
    <w:rsid w:val="00124467"/>
    <w:rsid w:val="001244DF"/>
    <w:rsid w:val="001316A1"/>
    <w:rsid w:val="0013230F"/>
    <w:rsid w:val="0014339B"/>
    <w:rsid w:val="001451C7"/>
    <w:rsid w:val="0015371B"/>
    <w:rsid w:val="001555B4"/>
    <w:rsid w:val="00155BA0"/>
    <w:rsid w:val="001610D0"/>
    <w:rsid w:val="00172A90"/>
    <w:rsid w:val="00173BF9"/>
    <w:rsid w:val="0017621F"/>
    <w:rsid w:val="00176539"/>
    <w:rsid w:val="00182763"/>
    <w:rsid w:val="00184F11"/>
    <w:rsid w:val="001866BA"/>
    <w:rsid w:val="001875AB"/>
    <w:rsid w:val="00196D8C"/>
    <w:rsid w:val="001A4626"/>
    <w:rsid w:val="001A6D1E"/>
    <w:rsid w:val="001A71A9"/>
    <w:rsid w:val="001A71E5"/>
    <w:rsid w:val="001B5B76"/>
    <w:rsid w:val="001C5776"/>
    <w:rsid w:val="001C77FE"/>
    <w:rsid w:val="001D1A25"/>
    <w:rsid w:val="001D7C4F"/>
    <w:rsid w:val="001E4463"/>
    <w:rsid w:val="001E47CE"/>
    <w:rsid w:val="001E5BCD"/>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F47"/>
    <w:rsid w:val="002566AD"/>
    <w:rsid w:val="002600C7"/>
    <w:rsid w:val="00260DEE"/>
    <w:rsid w:val="00262FEC"/>
    <w:rsid w:val="002654A2"/>
    <w:rsid w:val="00280409"/>
    <w:rsid w:val="00290594"/>
    <w:rsid w:val="00293D58"/>
    <w:rsid w:val="00295615"/>
    <w:rsid w:val="002A037D"/>
    <w:rsid w:val="002A09C5"/>
    <w:rsid w:val="002A3760"/>
    <w:rsid w:val="002B06F6"/>
    <w:rsid w:val="002B5B34"/>
    <w:rsid w:val="002B6409"/>
    <w:rsid w:val="002B6BE7"/>
    <w:rsid w:val="002C30D4"/>
    <w:rsid w:val="002C56A6"/>
    <w:rsid w:val="002C6EA5"/>
    <w:rsid w:val="002E743C"/>
    <w:rsid w:val="002E7A9F"/>
    <w:rsid w:val="00301D81"/>
    <w:rsid w:val="003073B5"/>
    <w:rsid w:val="0031732B"/>
    <w:rsid w:val="00322095"/>
    <w:rsid w:val="00323E34"/>
    <w:rsid w:val="0033006D"/>
    <w:rsid w:val="00332A1C"/>
    <w:rsid w:val="00332AD1"/>
    <w:rsid w:val="00333685"/>
    <w:rsid w:val="00334B0F"/>
    <w:rsid w:val="0034100E"/>
    <w:rsid w:val="0034660F"/>
    <w:rsid w:val="00351516"/>
    <w:rsid w:val="00356E1F"/>
    <w:rsid w:val="003606C6"/>
    <w:rsid w:val="003628FA"/>
    <w:rsid w:val="00376AB8"/>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C1FE7"/>
    <w:rsid w:val="004C41E2"/>
    <w:rsid w:val="004D3DF8"/>
    <w:rsid w:val="004D430B"/>
    <w:rsid w:val="004D5835"/>
    <w:rsid w:val="004D6BA9"/>
    <w:rsid w:val="004E55EB"/>
    <w:rsid w:val="004E6AD5"/>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45FB"/>
    <w:rsid w:val="0055476E"/>
    <w:rsid w:val="00562764"/>
    <w:rsid w:val="0056484A"/>
    <w:rsid w:val="00570043"/>
    <w:rsid w:val="005818AB"/>
    <w:rsid w:val="0058246F"/>
    <w:rsid w:val="005840A9"/>
    <w:rsid w:val="005906FB"/>
    <w:rsid w:val="00590BE6"/>
    <w:rsid w:val="0059199F"/>
    <w:rsid w:val="0059673E"/>
    <w:rsid w:val="00596E7B"/>
    <w:rsid w:val="005A11A7"/>
    <w:rsid w:val="005A1937"/>
    <w:rsid w:val="005A453F"/>
    <w:rsid w:val="005C358B"/>
    <w:rsid w:val="005C3AF3"/>
    <w:rsid w:val="005C3B1E"/>
    <w:rsid w:val="005C50EE"/>
    <w:rsid w:val="005D6C4F"/>
    <w:rsid w:val="005E6B01"/>
    <w:rsid w:val="00603B9F"/>
    <w:rsid w:val="00611589"/>
    <w:rsid w:val="00615561"/>
    <w:rsid w:val="00616803"/>
    <w:rsid w:val="0062027F"/>
    <w:rsid w:val="00623045"/>
    <w:rsid w:val="00626A8E"/>
    <w:rsid w:val="00630FE0"/>
    <w:rsid w:val="00632BAE"/>
    <w:rsid w:val="00641A4C"/>
    <w:rsid w:val="00642786"/>
    <w:rsid w:val="0064496A"/>
    <w:rsid w:val="00653031"/>
    <w:rsid w:val="00653A8F"/>
    <w:rsid w:val="006553AB"/>
    <w:rsid w:val="0065764C"/>
    <w:rsid w:val="006608A9"/>
    <w:rsid w:val="006608CB"/>
    <w:rsid w:val="006657B2"/>
    <w:rsid w:val="006660B2"/>
    <w:rsid w:val="00670F3E"/>
    <w:rsid w:val="006711FD"/>
    <w:rsid w:val="0067132A"/>
    <w:rsid w:val="00675D5C"/>
    <w:rsid w:val="00681260"/>
    <w:rsid w:val="00682C9C"/>
    <w:rsid w:val="00683C91"/>
    <w:rsid w:val="0068433E"/>
    <w:rsid w:val="0068681B"/>
    <w:rsid w:val="00696C6B"/>
    <w:rsid w:val="006A0D13"/>
    <w:rsid w:val="006A2BFD"/>
    <w:rsid w:val="006A2F2A"/>
    <w:rsid w:val="006A3E07"/>
    <w:rsid w:val="006B0DCF"/>
    <w:rsid w:val="006B2FFA"/>
    <w:rsid w:val="006B4AF8"/>
    <w:rsid w:val="006B77A6"/>
    <w:rsid w:val="006C022D"/>
    <w:rsid w:val="006C3D01"/>
    <w:rsid w:val="006C601A"/>
    <w:rsid w:val="006D1309"/>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095"/>
    <w:rsid w:val="007507A9"/>
    <w:rsid w:val="0076309D"/>
    <w:rsid w:val="00763ACA"/>
    <w:rsid w:val="00764471"/>
    <w:rsid w:val="0076637C"/>
    <w:rsid w:val="007740E1"/>
    <w:rsid w:val="007777B8"/>
    <w:rsid w:val="00783638"/>
    <w:rsid w:val="00783CBE"/>
    <w:rsid w:val="00791331"/>
    <w:rsid w:val="007932D3"/>
    <w:rsid w:val="00797D23"/>
    <w:rsid w:val="007A127F"/>
    <w:rsid w:val="007A3ECE"/>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C12C9"/>
    <w:rsid w:val="008C34D8"/>
    <w:rsid w:val="008C4891"/>
    <w:rsid w:val="008C7181"/>
    <w:rsid w:val="008D01FE"/>
    <w:rsid w:val="008D082E"/>
    <w:rsid w:val="008D4C21"/>
    <w:rsid w:val="008D5244"/>
    <w:rsid w:val="008D7648"/>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486F"/>
    <w:rsid w:val="00947868"/>
    <w:rsid w:val="00954020"/>
    <w:rsid w:val="0096262D"/>
    <w:rsid w:val="009627F5"/>
    <w:rsid w:val="009646CA"/>
    <w:rsid w:val="00964C6F"/>
    <w:rsid w:val="00965F5E"/>
    <w:rsid w:val="00966D2D"/>
    <w:rsid w:val="00971698"/>
    <w:rsid w:val="00972401"/>
    <w:rsid w:val="00973588"/>
    <w:rsid w:val="00974C5E"/>
    <w:rsid w:val="00974F6F"/>
    <w:rsid w:val="00994564"/>
    <w:rsid w:val="00995C93"/>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3D"/>
    <w:rsid w:val="009E174D"/>
    <w:rsid w:val="009E3DFE"/>
    <w:rsid w:val="009F1846"/>
    <w:rsid w:val="00A0044A"/>
    <w:rsid w:val="00A018D0"/>
    <w:rsid w:val="00A03BCA"/>
    <w:rsid w:val="00A111E6"/>
    <w:rsid w:val="00A15CE7"/>
    <w:rsid w:val="00A20128"/>
    <w:rsid w:val="00A20AF1"/>
    <w:rsid w:val="00A229DB"/>
    <w:rsid w:val="00A254C1"/>
    <w:rsid w:val="00A25544"/>
    <w:rsid w:val="00A31F9B"/>
    <w:rsid w:val="00A37543"/>
    <w:rsid w:val="00A401CB"/>
    <w:rsid w:val="00A41128"/>
    <w:rsid w:val="00A416E1"/>
    <w:rsid w:val="00A41880"/>
    <w:rsid w:val="00A437CB"/>
    <w:rsid w:val="00A45E7A"/>
    <w:rsid w:val="00A46CA8"/>
    <w:rsid w:val="00A519E9"/>
    <w:rsid w:val="00A51C5B"/>
    <w:rsid w:val="00A53D17"/>
    <w:rsid w:val="00A54F27"/>
    <w:rsid w:val="00A57DB9"/>
    <w:rsid w:val="00A64DCE"/>
    <w:rsid w:val="00A66495"/>
    <w:rsid w:val="00A70C8D"/>
    <w:rsid w:val="00A734DB"/>
    <w:rsid w:val="00A74252"/>
    <w:rsid w:val="00A7737B"/>
    <w:rsid w:val="00A775F0"/>
    <w:rsid w:val="00A8045D"/>
    <w:rsid w:val="00A8502F"/>
    <w:rsid w:val="00A855C9"/>
    <w:rsid w:val="00A86173"/>
    <w:rsid w:val="00A87712"/>
    <w:rsid w:val="00A9075B"/>
    <w:rsid w:val="00A944B3"/>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1F88"/>
    <w:rsid w:val="00AF4925"/>
    <w:rsid w:val="00AF549D"/>
    <w:rsid w:val="00B0111B"/>
    <w:rsid w:val="00B029F4"/>
    <w:rsid w:val="00B110D7"/>
    <w:rsid w:val="00B11DFE"/>
    <w:rsid w:val="00B12268"/>
    <w:rsid w:val="00B15377"/>
    <w:rsid w:val="00B158D1"/>
    <w:rsid w:val="00B234DF"/>
    <w:rsid w:val="00B27141"/>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918"/>
    <w:rsid w:val="00BA1876"/>
    <w:rsid w:val="00BA466D"/>
    <w:rsid w:val="00BA658E"/>
    <w:rsid w:val="00BB27A1"/>
    <w:rsid w:val="00BB2CAF"/>
    <w:rsid w:val="00BB384B"/>
    <w:rsid w:val="00BB54E4"/>
    <w:rsid w:val="00BB6162"/>
    <w:rsid w:val="00BB7FA4"/>
    <w:rsid w:val="00BC6500"/>
    <w:rsid w:val="00BD425C"/>
    <w:rsid w:val="00BD5A87"/>
    <w:rsid w:val="00BD7EEE"/>
    <w:rsid w:val="00BE081B"/>
    <w:rsid w:val="00BE25BE"/>
    <w:rsid w:val="00BE38E3"/>
    <w:rsid w:val="00BF3606"/>
    <w:rsid w:val="00BF66F4"/>
    <w:rsid w:val="00BF7BA9"/>
    <w:rsid w:val="00C04831"/>
    <w:rsid w:val="00C04E08"/>
    <w:rsid w:val="00C110D4"/>
    <w:rsid w:val="00C11815"/>
    <w:rsid w:val="00C124FE"/>
    <w:rsid w:val="00C14797"/>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6674"/>
    <w:rsid w:val="00C7218F"/>
    <w:rsid w:val="00C77963"/>
    <w:rsid w:val="00C84C27"/>
    <w:rsid w:val="00C86C3C"/>
    <w:rsid w:val="00C934BE"/>
    <w:rsid w:val="00CA2702"/>
    <w:rsid w:val="00CA4144"/>
    <w:rsid w:val="00CA5BA2"/>
    <w:rsid w:val="00CA61B2"/>
    <w:rsid w:val="00CB0228"/>
    <w:rsid w:val="00CB1156"/>
    <w:rsid w:val="00CB1331"/>
    <w:rsid w:val="00CB20D4"/>
    <w:rsid w:val="00CB3A31"/>
    <w:rsid w:val="00CC1500"/>
    <w:rsid w:val="00CC3606"/>
    <w:rsid w:val="00CE305A"/>
    <w:rsid w:val="00CF0210"/>
    <w:rsid w:val="00CF578F"/>
    <w:rsid w:val="00CF5948"/>
    <w:rsid w:val="00D00FB8"/>
    <w:rsid w:val="00D0517A"/>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80FB5"/>
    <w:rsid w:val="00D84722"/>
    <w:rsid w:val="00D849A1"/>
    <w:rsid w:val="00D86E64"/>
    <w:rsid w:val="00D87FC1"/>
    <w:rsid w:val="00DA561D"/>
    <w:rsid w:val="00DB3428"/>
    <w:rsid w:val="00DB4826"/>
    <w:rsid w:val="00DB5F8A"/>
    <w:rsid w:val="00DB641D"/>
    <w:rsid w:val="00DD46D4"/>
    <w:rsid w:val="00DD5C0B"/>
    <w:rsid w:val="00DE2E56"/>
    <w:rsid w:val="00DE486D"/>
    <w:rsid w:val="00DE4DB5"/>
    <w:rsid w:val="00DE5CDE"/>
    <w:rsid w:val="00E00766"/>
    <w:rsid w:val="00E00CCB"/>
    <w:rsid w:val="00E07B80"/>
    <w:rsid w:val="00E10416"/>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09EB"/>
    <w:rsid w:val="00E80838"/>
    <w:rsid w:val="00E81507"/>
    <w:rsid w:val="00E84E02"/>
    <w:rsid w:val="00E8777E"/>
    <w:rsid w:val="00E878DA"/>
    <w:rsid w:val="00E934D1"/>
    <w:rsid w:val="00E93F74"/>
    <w:rsid w:val="00EA51E2"/>
    <w:rsid w:val="00EA76D7"/>
    <w:rsid w:val="00EA7B2A"/>
    <w:rsid w:val="00EC0BAC"/>
    <w:rsid w:val="00EC65D8"/>
    <w:rsid w:val="00ED050C"/>
    <w:rsid w:val="00ED5636"/>
    <w:rsid w:val="00EE3346"/>
    <w:rsid w:val="00EE5B9C"/>
    <w:rsid w:val="00EF0C04"/>
    <w:rsid w:val="00EF2D01"/>
    <w:rsid w:val="00EF6D75"/>
    <w:rsid w:val="00F00132"/>
    <w:rsid w:val="00F01545"/>
    <w:rsid w:val="00F12E11"/>
    <w:rsid w:val="00F13D0A"/>
    <w:rsid w:val="00F152B5"/>
    <w:rsid w:val="00F2000B"/>
    <w:rsid w:val="00F20053"/>
    <w:rsid w:val="00F32341"/>
    <w:rsid w:val="00F34282"/>
    <w:rsid w:val="00F36B95"/>
    <w:rsid w:val="00F4323B"/>
    <w:rsid w:val="00F44577"/>
    <w:rsid w:val="00F57C8E"/>
    <w:rsid w:val="00F60EC3"/>
    <w:rsid w:val="00F61E74"/>
    <w:rsid w:val="00F6242D"/>
    <w:rsid w:val="00F639FA"/>
    <w:rsid w:val="00F640E1"/>
    <w:rsid w:val="00F73C6D"/>
    <w:rsid w:val="00F9588C"/>
    <w:rsid w:val="00FB0B78"/>
    <w:rsid w:val="00FB624F"/>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5</Pages>
  <Words>1797</Words>
  <Characters>12403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2013-10-29T20:06:00Z</cp:lastPrinted>
  <dcterms:created xsi:type="dcterms:W3CDTF">2019-01-27T18:41:00Z</dcterms:created>
  <dcterms:modified xsi:type="dcterms:W3CDTF">2019-05-29T09:02:00Z</dcterms:modified>
</cp:coreProperties>
</file>