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6ED" w:rsidRDefault="000046ED" w:rsidP="001610D0">
      <w:pPr>
        <w:pStyle w:val="Title"/>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0046ED" w:rsidRDefault="000046ED"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2015/830/EU és a 1272/2008/EK rendelet szerint</w:t>
      </w:r>
    </w:p>
    <w:p w:rsidR="000046ED" w:rsidRDefault="000046E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0046ED" w:rsidRDefault="000046ED" w:rsidP="00BF7BA9">
      <w:pPr>
        <w:tabs>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t xml:space="preserve"> </w:t>
      </w:r>
      <w:r>
        <w:rPr>
          <w:rFonts w:ascii="Tahoma" w:hAnsi="Tahoma" w:cs="Tahoma"/>
          <w:b/>
          <w:bCs/>
          <w:snapToGrid w:val="0"/>
          <w:sz w:val="28"/>
          <w:szCs w:val="28"/>
        </w:rPr>
        <w:t>TIS mosogatószer – Balsam</w:t>
      </w:r>
    </w:p>
    <w:p w:rsidR="000046ED" w:rsidRDefault="000046ED" w:rsidP="00623045">
      <w:pPr>
        <w:tabs>
          <w:tab w:val="left" w:pos="3119"/>
          <w:tab w:val="center" w:pos="4536"/>
        </w:tabs>
        <w:spacing w:before="80"/>
        <w:ind w:right="204"/>
        <w:jc w:val="both"/>
        <w:rPr>
          <w:rFonts w:ascii="Tahoma" w:hAnsi="Tahoma" w:cs="Tahoma"/>
          <w:snapToGrid w:val="0"/>
        </w:rPr>
      </w:pPr>
      <w:r w:rsidRPr="00681260">
        <w:rPr>
          <w:rFonts w:ascii="Tahoma" w:hAnsi="Tahoma" w:cs="Tahoma"/>
          <w:b/>
          <w:bCs/>
          <w:snapToGrid w:val="0"/>
        </w:rPr>
        <w:t>1.2. Azonosított felhasználás:</w:t>
      </w:r>
      <w:r>
        <w:rPr>
          <w:rFonts w:ascii="Tahoma" w:hAnsi="Tahoma" w:cs="Tahoma"/>
          <w:b/>
          <w:bCs/>
          <w:snapToGrid w:val="0"/>
        </w:rPr>
        <w:t xml:space="preserve"> </w:t>
      </w:r>
      <w:r w:rsidRPr="00623045">
        <w:rPr>
          <w:rFonts w:ascii="Tahoma" w:hAnsi="Tahoma" w:cs="Tahoma"/>
          <w:snapToGrid w:val="0"/>
        </w:rPr>
        <w:t>tisztítószer</w:t>
      </w:r>
      <w:r>
        <w:rPr>
          <w:rFonts w:ascii="Tahoma" w:hAnsi="Tahoma" w:cs="Tahoma"/>
          <w:snapToGrid w:val="0"/>
        </w:rPr>
        <w:t>, kézi mosogatás</w:t>
      </w:r>
    </w:p>
    <w:p w:rsidR="000046ED" w:rsidRPr="00623045" w:rsidRDefault="000046ED"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0046ED" w:rsidRDefault="000046ED"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0046ED" w:rsidRPr="0008511E" w:rsidRDefault="000046ED"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0046ED" w:rsidRPr="0008511E" w:rsidRDefault="000046ED" w:rsidP="005C50EE">
      <w:pPr>
        <w:tabs>
          <w:tab w:val="left" w:pos="1985"/>
        </w:tabs>
        <w:ind w:left="426"/>
        <w:rPr>
          <w:rFonts w:ascii="Tahoma" w:hAnsi="Tahoma" w:cs="Tahoma"/>
        </w:rPr>
      </w:pPr>
      <w:r w:rsidRPr="0008511E">
        <w:rPr>
          <w:rFonts w:ascii="Tahoma" w:hAnsi="Tahoma" w:cs="Tahoma"/>
        </w:rPr>
        <w:t>H-3333 Terpes, Petőfi út 2 – 4.</w:t>
      </w:r>
    </w:p>
    <w:p w:rsidR="000046ED" w:rsidRDefault="000046ED"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0046ED" w:rsidRPr="0008511E" w:rsidRDefault="000046ED" w:rsidP="005C50EE">
      <w:pPr>
        <w:tabs>
          <w:tab w:val="left" w:pos="1985"/>
        </w:tabs>
        <w:ind w:left="426"/>
        <w:rPr>
          <w:rFonts w:ascii="Tahoma" w:hAnsi="Tahoma" w:cs="Tahoma"/>
        </w:rPr>
      </w:pPr>
      <w:r>
        <w:rPr>
          <w:rFonts w:ascii="Tahoma" w:hAnsi="Tahoma" w:cs="Tahoma"/>
        </w:rPr>
        <w:t>honlap: www.gironde.hu</w:t>
      </w:r>
    </w:p>
    <w:p w:rsidR="000046ED" w:rsidRDefault="000046ED"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0046ED" w:rsidRPr="004D5835" w:rsidRDefault="000046ED"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0046ED" w:rsidRDefault="000046ED"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0046ED" w:rsidRDefault="000046ED"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0046ED" w:rsidRDefault="000046ED"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0046ED" w:rsidRDefault="000046ED" w:rsidP="00696C6B">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1272/2008/EK (CLP</w:t>
      </w:r>
      <w:r w:rsidRPr="00E43E30">
        <w:rPr>
          <w:rStyle w:val="FootnoteReference"/>
          <w:rFonts w:ascii="Tahoma" w:hAnsi="Tahoma" w:cs="Tahoma"/>
          <w:b/>
          <w:bCs/>
        </w:rPr>
        <w:footnoteReference w:id="1"/>
      </w:r>
      <w:r>
        <w:rPr>
          <w:rFonts w:ascii="Tahoma" w:hAnsi="Tahoma" w:cs="Tahoma"/>
          <w:snapToGrid w:val="0"/>
        </w:rPr>
        <w:t>)</w:t>
      </w:r>
      <w:r w:rsidRPr="004258D0">
        <w:rPr>
          <w:rStyle w:val="FootnoteReference"/>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0046ED" w:rsidRDefault="000046ED" w:rsidP="00964C6F">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0046ED" w:rsidRDefault="000046ED" w:rsidP="007777B8">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0046ED" w:rsidRDefault="000046ED" w:rsidP="0094486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nem szükséges.</w:t>
      </w:r>
    </w:p>
    <w:p w:rsidR="000046ED" w:rsidRDefault="000046ED" w:rsidP="0094486F">
      <w:pPr>
        <w:spacing w:after="40"/>
        <w:ind w:firstLine="425"/>
        <w:jc w:val="both"/>
        <w:rPr>
          <w:rFonts w:ascii="Tahoma" w:hAnsi="Tahoma" w:cs="Tahoma"/>
          <w:snapToGrid w:val="0"/>
        </w:rPr>
      </w:pPr>
      <w:r w:rsidRPr="006A0D13">
        <w:rPr>
          <w:rFonts w:ascii="Tahoma" w:hAnsi="Tahoma" w:cs="Tahoma"/>
          <w:b/>
          <w:bCs/>
          <w:snapToGrid w:val="0"/>
        </w:rPr>
        <w:t>Figyelmeztetés</w:t>
      </w:r>
      <w:r>
        <w:rPr>
          <w:rFonts w:ascii="Tahoma" w:hAnsi="Tahoma" w:cs="Tahoma"/>
          <w:snapToGrid w:val="0"/>
        </w:rPr>
        <w:t>: nem szükséges.</w:t>
      </w:r>
    </w:p>
    <w:p w:rsidR="000046ED" w:rsidRPr="00BD425C" w:rsidRDefault="000046ED" w:rsidP="007777B8">
      <w:pPr>
        <w:tabs>
          <w:tab w:val="left" w:pos="1560"/>
        </w:tabs>
        <w:spacing w:before="4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0046ED" w:rsidRDefault="000046ED" w:rsidP="007777B8">
      <w:pPr>
        <w:tabs>
          <w:tab w:val="left" w:pos="567"/>
          <w:tab w:val="left" w:pos="742"/>
          <w:tab w:val="left" w:pos="1418"/>
          <w:tab w:val="left" w:pos="4395"/>
        </w:tabs>
        <w:spacing w:before="4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0046ED" w:rsidRPr="0094486F" w:rsidRDefault="000046ED"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0046ED" w:rsidRDefault="000046ED" w:rsidP="00CF0210">
      <w:pPr>
        <w:tabs>
          <w:tab w:val="left" w:pos="742"/>
          <w:tab w:val="left" w:pos="1134"/>
          <w:tab w:val="left" w:pos="2410"/>
          <w:tab w:val="left" w:pos="4395"/>
        </w:tabs>
        <w:spacing w:before="40"/>
        <w:ind w:left="1418" w:hanging="992"/>
        <w:jc w:val="both"/>
        <w:rPr>
          <w:rFonts w:ascii="Tahoma" w:hAnsi="Tahoma" w:cs="Tahoma"/>
          <w:snapToGrid w:val="0"/>
        </w:rPr>
      </w:pPr>
      <w:r w:rsidRPr="00CF0210">
        <w:rPr>
          <w:rFonts w:ascii="Tahoma" w:hAnsi="Tahoma" w:cs="Tahoma"/>
          <w:b/>
          <w:bCs/>
          <w:snapToGrid w:val="0"/>
        </w:rPr>
        <w:t>P305+P351+P338</w:t>
      </w:r>
      <w:r>
        <w:rPr>
          <w:rFonts w:ascii="Tahoma" w:hAnsi="Tahoma" w:cs="Tahoma"/>
          <w:b/>
          <w:bCs/>
          <w:snapToGrid w:val="0"/>
        </w:rPr>
        <w:tab/>
      </w:r>
      <w:r>
        <w:rPr>
          <w:rFonts w:ascii="Tahoma" w:hAnsi="Tahoma" w:cs="Tahoma"/>
          <w:snapToGrid w:val="0"/>
        </w:rPr>
        <w:t>SZEMBE KERÜLÉS ESETÉN: Több percig tartó óvatos öblítés vízzel</w:t>
      </w:r>
      <w:r w:rsidRPr="0094486F">
        <w:rPr>
          <w:rFonts w:ascii="Tahoma" w:hAnsi="Tahoma" w:cs="Tahoma"/>
          <w:snapToGrid w:val="0"/>
        </w:rPr>
        <w:t xml:space="preserve">. </w:t>
      </w:r>
    </w:p>
    <w:p w:rsidR="000046ED" w:rsidRDefault="000046ED" w:rsidP="00CF0210">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Adott esetben a kontaktlencsék eltávolítása, ha könnyen megoldható. </w:t>
      </w:r>
    </w:p>
    <w:p w:rsidR="000046ED" w:rsidRPr="0094486F" w:rsidRDefault="000046ED" w:rsidP="00CF0210">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Az öblítés folytatása. </w:t>
      </w:r>
    </w:p>
    <w:p w:rsidR="000046ED" w:rsidRPr="0094486F" w:rsidRDefault="000046ED" w:rsidP="00AB1C5A">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P401</w:t>
      </w:r>
      <w:r w:rsidRPr="0094486F">
        <w:rPr>
          <w:rFonts w:ascii="Tahoma" w:hAnsi="Tahoma" w:cs="Tahoma"/>
          <w:snapToGrid w:val="0"/>
        </w:rPr>
        <w:tab/>
        <w:t xml:space="preserve">Tárolás: +5°C </w:t>
      </w:r>
      <w:r>
        <w:rPr>
          <w:rFonts w:ascii="Tahoma" w:hAnsi="Tahoma" w:cs="Tahoma"/>
          <w:snapToGrid w:val="0"/>
        </w:rPr>
        <w:t>f</w:t>
      </w:r>
      <w:r w:rsidRPr="0094486F">
        <w:rPr>
          <w:rFonts w:ascii="Tahoma" w:hAnsi="Tahoma" w:cs="Tahoma"/>
          <w:snapToGrid w:val="0"/>
        </w:rPr>
        <w:t>eletti hőmérsékleten</w:t>
      </w:r>
    </w:p>
    <w:bookmarkEnd w:id="0"/>
    <w:p w:rsidR="000046ED" w:rsidRPr="00CF5948" w:rsidRDefault="000046ED"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0046ED" w:rsidRPr="00CF5948" w:rsidRDefault="000046ED" w:rsidP="00CF0210">
      <w:pPr>
        <w:pStyle w:val="BodyTextIndent"/>
        <w:spacing w:before="40"/>
        <w:ind w:left="0"/>
      </w:pPr>
      <w:r w:rsidRPr="00CF5948">
        <w:rPr>
          <w:b/>
          <w:bCs/>
        </w:rPr>
        <w:t>Fizikai-kémiai veszély:</w:t>
      </w:r>
      <w:r w:rsidRPr="00CF5948">
        <w:t xml:space="preserve"> nem lép fel.</w:t>
      </w:r>
    </w:p>
    <w:p w:rsidR="000046ED" w:rsidRDefault="000046ED" w:rsidP="00CF0210">
      <w:pPr>
        <w:pStyle w:val="BodyTextIndent"/>
        <w:spacing w:before="40"/>
        <w:ind w:left="0"/>
      </w:pPr>
      <w:r>
        <w:rPr>
          <w:b/>
          <w:bCs/>
        </w:rPr>
        <w:t>Egészségkárosító veszély:</w:t>
      </w:r>
      <w:r>
        <w:t xml:space="preserve"> szembe jutva irritálhat. </w:t>
      </w:r>
    </w:p>
    <w:p w:rsidR="000046ED" w:rsidRPr="00C77963" w:rsidRDefault="000046ED"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0046ED" w:rsidRDefault="000046ED" w:rsidP="00CF0210">
      <w:pPr>
        <w:spacing w:before="40"/>
        <w:jc w:val="both"/>
        <w:rPr>
          <w:rFonts w:ascii="Tahoma" w:hAnsi="Tahoma" w:cs="Tahoma"/>
          <w:snapToGrid w:val="0"/>
        </w:rPr>
      </w:pPr>
      <w:r w:rsidRPr="00AC31F8">
        <w:rPr>
          <w:rFonts w:ascii="Tahoma" w:hAnsi="Tahoma" w:cs="Tahoma"/>
          <w:b/>
          <w:bCs/>
          <w:snapToGrid w:val="0"/>
        </w:rPr>
        <w:t>PBT, vP</w:t>
      </w:r>
      <w:r>
        <w:rPr>
          <w:rFonts w:ascii="Tahoma" w:hAnsi="Tahoma" w:cs="Tahoma"/>
          <w:b/>
          <w:bCs/>
          <w:snapToGrid w:val="0"/>
        </w:rPr>
        <w:t>v</w:t>
      </w:r>
      <w:r w:rsidRPr="00AC31F8">
        <w:rPr>
          <w:rFonts w:ascii="Tahoma" w:hAnsi="Tahoma" w:cs="Tahoma"/>
          <w:b/>
          <w:bCs/>
          <w:snapToGrid w:val="0"/>
        </w:rPr>
        <w:t xml:space="preserve">B értékelés: </w:t>
      </w:r>
      <w:r w:rsidRPr="00964C6F">
        <w:rPr>
          <w:rFonts w:ascii="Tahoma" w:hAnsi="Tahoma" w:cs="Tahoma"/>
          <w:snapToGrid w:val="0"/>
        </w:rPr>
        <w:t>nem alkalmazható.</w:t>
      </w:r>
    </w:p>
    <w:p w:rsidR="000046ED" w:rsidRDefault="000046ED"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0046ED" w:rsidRDefault="000046ED" w:rsidP="009E5ED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 vivőanyag: víz.</w:t>
      </w:r>
    </w:p>
    <w:p w:rsidR="000046ED" w:rsidRDefault="000046ED" w:rsidP="009E5EDC">
      <w:pPr>
        <w:jc w:val="both"/>
        <w:rPr>
          <w:rFonts w:ascii="Tahoma" w:hAnsi="Tahoma" w:cs="Tahoma"/>
          <w:b/>
          <w:bCs/>
          <w:snapToGrid w:val="0"/>
        </w:rPr>
      </w:pPr>
      <w:r w:rsidRPr="0094486F">
        <w:rPr>
          <w:rFonts w:ascii="Tahoma" w:hAnsi="Tahoma" w:cs="Tahoma"/>
          <w:b/>
          <w:bCs/>
          <w:snapToGrid w:val="0"/>
        </w:rPr>
        <w:t xml:space="preserve">Összetétel a 648/2004/EK rendelet szerint: </w:t>
      </w:r>
    </w:p>
    <w:p w:rsidR="000046ED" w:rsidRDefault="000046ED" w:rsidP="0094486F">
      <w:pPr>
        <w:spacing w:after="120"/>
        <w:jc w:val="both"/>
        <w:rPr>
          <w:rFonts w:ascii="Tahoma" w:hAnsi="Tahoma" w:cs="Tahoma"/>
          <w:b/>
          <w:bCs/>
          <w:sz w:val="18"/>
          <w:szCs w:val="18"/>
        </w:rPr>
      </w:pPr>
      <w:r>
        <w:rPr>
          <w:rFonts w:ascii="Tahoma" w:hAnsi="Tahoma" w:cs="Tahoma"/>
          <w:snapToGrid w:val="0"/>
        </w:rPr>
        <w:t>&lt;5%: anionos felületaktív anyag, &lt;5%: nemionos felületaktív anyag, Parfum, Benzyl Alcohol</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0046ED" w:rsidRPr="00501707">
        <w:trPr>
          <w:cantSplit/>
          <w:trHeight w:val="335"/>
          <w:tblHeader/>
          <w:jc w:val="center"/>
        </w:trPr>
        <w:tc>
          <w:tcPr>
            <w:tcW w:w="3828" w:type="dxa"/>
            <w:vAlign w:val="center"/>
          </w:tcPr>
          <w:p w:rsidR="000046ED" w:rsidRPr="00501707" w:rsidRDefault="000046ED" w:rsidP="0094486F">
            <w:pPr>
              <w:keepNext/>
              <w:ind w:left="204" w:right="62"/>
              <w:jc w:val="center"/>
              <w:rPr>
                <w:rFonts w:ascii="Tahoma" w:hAnsi="Tahoma" w:cs="Tahoma"/>
                <w:b/>
                <w:bCs/>
                <w:sz w:val="18"/>
                <w:szCs w:val="18"/>
              </w:rPr>
            </w:pPr>
            <w:r w:rsidRPr="00501707">
              <w:rPr>
                <w:rFonts w:ascii="Tahoma" w:hAnsi="Tahoma" w:cs="Tahoma"/>
                <w:b/>
                <w:bCs/>
                <w:sz w:val="18"/>
                <w:szCs w:val="18"/>
              </w:rPr>
              <w:t>Veszélyes összetevő</w:t>
            </w:r>
          </w:p>
        </w:tc>
        <w:tc>
          <w:tcPr>
            <w:tcW w:w="1418" w:type="dxa"/>
            <w:vAlign w:val="center"/>
          </w:tcPr>
          <w:p w:rsidR="000046ED" w:rsidRPr="00501707" w:rsidRDefault="000046ED"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40" w:type="dxa"/>
            <w:vAlign w:val="center"/>
          </w:tcPr>
          <w:p w:rsidR="000046ED" w:rsidRPr="00501707" w:rsidRDefault="000046ED" w:rsidP="0094486F">
            <w:pPr>
              <w:keepNext/>
              <w:spacing w:after="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CLP: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0046ED" w:rsidRPr="00501707">
        <w:trPr>
          <w:cantSplit/>
          <w:trHeight w:val="946"/>
          <w:jc w:val="center"/>
        </w:trPr>
        <w:tc>
          <w:tcPr>
            <w:tcW w:w="3828" w:type="dxa"/>
            <w:vAlign w:val="center"/>
          </w:tcPr>
          <w:p w:rsidR="000046ED" w:rsidRDefault="000046ED" w:rsidP="001D1697">
            <w:pPr>
              <w:tabs>
                <w:tab w:val="left" w:pos="1950"/>
              </w:tabs>
              <w:spacing w:before="20"/>
              <w:ind w:left="142" w:hanging="48"/>
              <w:rPr>
                <w:rFonts w:ascii="Tahoma" w:hAnsi="Tahoma" w:cs="Tahoma"/>
                <w:snapToGrid w:val="0"/>
                <w:sz w:val="18"/>
                <w:szCs w:val="18"/>
              </w:rPr>
            </w:pPr>
            <w:r>
              <w:rPr>
                <w:rFonts w:ascii="Tahoma" w:hAnsi="Tahoma" w:cs="Tahoma"/>
                <w:snapToGrid w:val="0"/>
                <w:sz w:val="18"/>
                <w:szCs w:val="18"/>
              </w:rPr>
              <w:t>SODIUM LAURETH SULFATE</w:t>
            </w:r>
            <w:r>
              <w:rPr>
                <w:rStyle w:val="FootnoteReference"/>
                <w:rFonts w:ascii="Tahoma" w:hAnsi="Tahoma" w:cs="Tahoma"/>
                <w:snapToGrid w:val="0"/>
                <w:sz w:val="18"/>
                <w:szCs w:val="18"/>
              </w:rPr>
              <w:footnoteReference w:id="2"/>
            </w:r>
          </w:p>
          <w:p w:rsidR="000046ED" w:rsidRPr="00501707" w:rsidRDefault="000046ED" w:rsidP="001D1697">
            <w:pPr>
              <w:tabs>
                <w:tab w:val="left" w:pos="2153"/>
              </w:tabs>
              <w:spacing w:after="20"/>
              <w:ind w:left="57"/>
              <w:rPr>
                <w:rFonts w:ascii="Tahoma" w:hAnsi="Tahoma" w:cs="Tahoma"/>
                <w:b/>
                <w:bCs/>
                <w:sz w:val="18"/>
                <w:szCs w:val="18"/>
              </w:rPr>
            </w:pPr>
            <w:r w:rsidRPr="000C6C21">
              <w:rPr>
                <w:rFonts w:ascii="Tahoma" w:hAnsi="Tahoma" w:cs="Tahoma"/>
                <w:snapToGrid w:val="0"/>
                <w:sz w:val="18"/>
                <w:szCs w:val="18"/>
              </w:rPr>
              <w:t xml:space="preserve">CAS-szám: </w:t>
            </w:r>
            <w:r w:rsidRPr="000C6C21">
              <w:rPr>
                <w:rFonts w:ascii="Tahoma" w:hAnsi="Tahoma" w:cs="Tahoma"/>
                <w:sz w:val="18"/>
                <w:szCs w:val="18"/>
              </w:rPr>
              <w:t>68</w:t>
            </w:r>
            <w:r>
              <w:rPr>
                <w:rFonts w:ascii="Tahoma" w:hAnsi="Tahoma" w:cs="Tahoma"/>
                <w:sz w:val="18"/>
                <w:szCs w:val="18"/>
              </w:rPr>
              <w:t>891-38-3</w:t>
            </w:r>
            <w:r>
              <w:rPr>
                <w:rFonts w:ascii="Tahoma" w:hAnsi="Tahoma" w:cs="Tahoma"/>
                <w:sz w:val="18"/>
                <w:szCs w:val="18"/>
              </w:rPr>
              <w:tab/>
            </w:r>
            <w:r w:rsidRPr="000C6C21">
              <w:rPr>
                <w:rFonts w:ascii="Tahoma" w:hAnsi="Tahoma" w:cs="Tahoma"/>
                <w:snapToGrid w:val="0"/>
                <w:sz w:val="18"/>
                <w:szCs w:val="18"/>
              </w:rPr>
              <w:t>E</w:t>
            </w:r>
            <w:r>
              <w:rPr>
                <w:rFonts w:ascii="Tahoma" w:hAnsi="Tahoma" w:cs="Tahoma"/>
                <w:snapToGrid w:val="0"/>
                <w:sz w:val="18"/>
                <w:szCs w:val="18"/>
              </w:rPr>
              <w:t>U</w:t>
            </w:r>
            <w:r w:rsidRPr="000C6C21">
              <w:rPr>
                <w:rFonts w:ascii="Tahoma" w:hAnsi="Tahoma" w:cs="Tahoma"/>
                <w:snapToGrid w:val="0"/>
                <w:sz w:val="18"/>
                <w:szCs w:val="18"/>
              </w:rPr>
              <w:t xml:space="preserve">-szám: </w:t>
            </w:r>
            <w:r>
              <w:rPr>
                <w:rFonts w:ascii="Tahoma" w:hAnsi="Tahoma" w:cs="Tahoma"/>
                <w:snapToGrid w:val="0"/>
                <w:sz w:val="18"/>
                <w:szCs w:val="18"/>
              </w:rPr>
              <w:t>500-234-8</w:t>
            </w:r>
          </w:p>
        </w:tc>
        <w:tc>
          <w:tcPr>
            <w:tcW w:w="1418" w:type="dxa"/>
            <w:vAlign w:val="center"/>
          </w:tcPr>
          <w:p w:rsidR="000046ED" w:rsidRPr="00501707" w:rsidRDefault="000046ED" w:rsidP="001D1697">
            <w:pPr>
              <w:ind w:left="61" w:right="62"/>
              <w:jc w:val="center"/>
              <w:rPr>
                <w:rFonts w:ascii="Tahoma" w:hAnsi="Tahoma" w:cs="Tahoma"/>
                <w:b/>
                <w:bCs/>
                <w:snapToGrid w:val="0"/>
                <w:sz w:val="18"/>
                <w:szCs w:val="18"/>
              </w:rPr>
            </w:pPr>
            <w:r>
              <w:rPr>
                <w:rFonts w:ascii="Tahoma" w:hAnsi="Tahoma" w:cs="Tahoma"/>
                <w:snapToGrid w:val="0"/>
                <w:sz w:val="18"/>
                <w:szCs w:val="18"/>
              </w:rPr>
              <w:t>&lt;5%</w:t>
            </w:r>
          </w:p>
        </w:tc>
        <w:tc>
          <w:tcPr>
            <w:tcW w:w="3740" w:type="dxa"/>
            <w:vAlign w:val="center"/>
          </w:tcPr>
          <w:p w:rsidR="000046ED" w:rsidRPr="00501707" w:rsidRDefault="000046ED" w:rsidP="001D1697">
            <w:pPr>
              <w:tabs>
                <w:tab w:val="left" w:pos="650"/>
              </w:tabs>
              <w:ind w:left="141"/>
              <w:rPr>
                <w:rFonts w:ascii="Tahoma" w:hAnsi="Tahoma" w:cs="Tahoma"/>
                <w:b/>
                <w:bCs/>
                <w:snapToGrid w:val="0"/>
                <w:sz w:val="18"/>
                <w:szCs w:val="18"/>
              </w:rPr>
            </w:pPr>
            <w:r w:rsidRPr="005F482D">
              <w:rPr>
                <w:rFonts w:ascii="Tahoma" w:hAnsi="Tahoma" w:cs="Tahoma"/>
                <w:snapToGrid w:val="0"/>
                <w:sz w:val="18"/>
                <w:szCs w:val="18"/>
              </w:rPr>
              <w:t>CLP:</w:t>
            </w:r>
            <w:r>
              <w:rPr>
                <w:rFonts w:ascii="Tahoma" w:hAnsi="Tahoma" w:cs="Tahoma"/>
                <w:snapToGrid w:val="0"/>
                <w:sz w:val="18"/>
                <w:szCs w:val="18"/>
              </w:rPr>
              <w:t xml:space="preserve"> Skin I</w:t>
            </w:r>
            <w:r w:rsidRPr="005F482D">
              <w:rPr>
                <w:rFonts w:ascii="Tahoma" w:hAnsi="Tahoma" w:cs="Tahoma"/>
                <w:snapToGrid w:val="0"/>
                <w:sz w:val="18"/>
                <w:szCs w:val="18"/>
              </w:rPr>
              <w:t>rrit. 2, H31</w:t>
            </w:r>
            <w:r>
              <w:rPr>
                <w:rFonts w:ascii="Tahoma" w:hAnsi="Tahoma" w:cs="Tahoma"/>
                <w:snapToGrid w:val="0"/>
                <w:sz w:val="18"/>
                <w:szCs w:val="18"/>
              </w:rPr>
              <w:t>5, Eye Dam. 1, H318</w:t>
            </w:r>
          </w:p>
        </w:tc>
      </w:tr>
      <w:tr w:rsidR="000046ED" w:rsidRPr="00501707">
        <w:trPr>
          <w:cantSplit/>
          <w:trHeight w:val="831"/>
          <w:jc w:val="center"/>
        </w:trPr>
        <w:tc>
          <w:tcPr>
            <w:tcW w:w="3828" w:type="dxa"/>
            <w:vAlign w:val="center"/>
          </w:tcPr>
          <w:p w:rsidR="000046ED" w:rsidRPr="00FE18F7" w:rsidRDefault="000046ED" w:rsidP="001D1697">
            <w:pPr>
              <w:tabs>
                <w:tab w:val="left" w:pos="2105"/>
              </w:tabs>
              <w:spacing w:before="20"/>
              <w:ind w:left="142" w:hanging="48"/>
              <w:rPr>
                <w:rFonts w:ascii="Tahoma" w:hAnsi="Tahoma" w:cs="Tahoma"/>
                <w:snapToGrid w:val="0"/>
                <w:sz w:val="18"/>
                <w:szCs w:val="18"/>
              </w:rPr>
            </w:pPr>
            <w:r>
              <w:rPr>
                <w:rFonts w:ascii="Tahoma" w:hAnsi="Tahoma" w:cs="Tahoma"/>
                <w:snapToGrid w:val="0"/>
                <w:sz w:val="18"/>
                <w:szCs w:val="18"/>
              </w:rPr>
              <w:t>COCAMIDE DEA</w:t>
            </w:r>
            <w:r>
              <w:rPr>
                <w:rStyle w:val="FootnoteReference"/>
                <w:rFonts w:ascii="Tahoma" w:hAnsi="Tahoma" w:cs="Tahoma"/>
                <w:snapToGrid w:val="0"/>
                <w:sz w:val="18"/>
                <w:szCs w:val="18"/>
              </w:rPr>
              <w:footnoteReference w:id="3"/>
            </w:r>
          </w:p>
          <w:p w:rsidR="000046ED" w:rsidRPr="00585241" w:rsidRDefault="000046ED" w:rsidP="001D1697">
            <w:pPr>
              <w:tabs>
                <w:tab w:val="left" w:pos="2105"/>
              </w:tabs>
              <w:spacing w:after="20"/>
              <w:ind w:left="57"/>
              <w:rPr>
                <w:rFonts w:ascii="Tahoma" w:hAnsi="Tahoma" w:cs="Tahoma"/>
              </w:rPr>
            </w:pPr>
            <w:r w:rsidRPr="00FE18F7">
              <w:rPr>
                <w:rFonts w:ascii="Tahoma" w:hAnsi="Tahoma" w:cs="Tahoma"/>
                <w:snapToGrid w:val="0"/>
                <w:sz w:val="18"/>
                <w:szCs w:val="18"/>
              </w:rPr>
              <w:t xml:space="preserve">CAS-szám: </w:t>
            </w:r>
            <w:r>
              <w:rPr>
                <w:rFonts w:ascii="Tahoma" w:hAnsi="Tahoma" w:cs="Tahoma"/>
                <w:snapToGrid w:val="0"/>
                <w:sz w:val="18"/>
                <w:szCs w:val="18"/>
              </w:rPr>
              <w:t>68603-42-9</w:t>
            </w:r>
            <w:r w:rsidRPr="00FE18F7">
              <w:rPr>
                <w:rFonts w:ascii="Tahoma" w:hAnsi="Tahoma" w:cs="Tahoma"/>
                <w:snapToGrid w:val="0"/>
                <w:sz w:val="18"/>
                <w:szCs w:val="18"/>
              </w:rPr>
              <w:tab/>
              <w:t xml:space="preserve">EU-szám: </w:t>
            </w:r>
            <w:r w:rsidRPr="009417C1">
              <w:rPr>
                <w:rFonts w:ascii="Tahoma" w:hAnsi="Tahoma" w:cs="Tahoma"/>
                <w:snapToGrid w:val="0"/>
                <w:sz w:val="18"/>
                <w:szCs w:val="18"/>
              </w:rPr>
              <w:t>931-329-6</w:t>
            </w:r>
          </w:p>
        </w:tc>
        <w:tc>
          <w:tcPr>
            <w:tcW w:w="1418" w:type="dxa"/>
            <w:vAlign w:val="center"/>
          </w:tcPr>
          <w:p w:rsidR="000046ED" w:rsidRDefault="000046ED" w:rsidP="001D1697">
            <w:pPr>
              <w:tabs>
                <w:tab w:val="left" w:pos="933"/>
              </w:tabs>
              <w:ind w:hanging="91"/>
              <w:jc w:val="center"/>
              <w:rPr>
                <w:rFonts w:ascii="Tahoma" w:hAnsi="Tahoma" w:cs="Tahoma"/>
                <w:snapToGrid w:val="0"/>
                <w:lang w:val="en-US"/>
              </w:rPr>
            </w:pPr>
            <w:r>
              <w:rPr>
                <w:rFonts w:ascii="Tahoma" w:hAnsi="Tahoma" w:cs="Tahoma"/>
                <w:snapToGrid w:val="0"/>
                <w:sz w:val="18"/>
                <w:szCs w:val="18"/>
              </w:rPr>
              <w:t>&lt;5</w:t>
            </w:r>
            <w:r w:rsidRPr="00CB1331">
              <w:rPr>
                <w:rFonts w:ascii="Tahoma" w:hAnsi="Tahoma" w:cs="Tahoma"/>
                <w:snapToGrid w:val="0"/>
                <w:sz w:val="18"/>
                <w:szCs w:val="18"/>
              </w:rPr>
              <w:t>%</w:t>
            </w:r>
          </w:p>
        </w:tc>
        <w:tc>
          <w:tcPr>
            <w:tcW w:w="3740" w:type="dxa"/>
            <w:vAlign w:val="center"/>
          </w:tcPr>
          <w:p w:rsidR="000046ED" w:rsidRPr="00585241" w:rsidRDefault="000046ED" w:rsidP="001D1697">
            <w:pPr>
              <w:tabs>
                <w:tab w:val="left" w:pos="714"/>
              </w:tabs>
              <w:spacing w:after="40"/>
              <w:ind w:left="141" w:right="215"/>
              <w:rPr>
                <w:rFonts w:ascii="Tahoma" w:hAnsi="Tahoma" w:cs="Tahoma"/>
                <w:snapToGrid w:val="0"/>
              </w:rPr>
            </w:pPr>
            <w:r w:rsidRPr="008D6CFF">
              <w:rPr>
                <w:rFonts w:ascii="Tahoma" w:hAnsi="Tahoma" w:cs="Tahoma"/>
                <w:snapToGrid w:val="0"/>
                <w:sz w:val="18"/>
                <w:szCs w:val="18"/>
              </w:rPr>
              <w:t xml:space="preserve">CLP: Skin Irrit. 2, H315, Eye Dam. 1, </w:t>
            </w:r>
            <w:r>
              <w:rPr>
                <w:rFonts w:ascii="Tahoma" w:hAnsi="Tahoma" w:cs="Tahoma"/>
                <w:snapToGrid w:val="0"/>
                <w:sz w:val="18"/>
                <w:szCs w:val="18"/>
              </w:rPr>
              <w:t>H</w:t>
            </w:r>
            <w:r w:rsidRPr="008D6CFF">
              <w:rPr>
                <w:rFonts w:ascii="Tahoma" w:hAnsi="Tahoma" w:cs="Tahoma"/>
                <w:snapToGrid w:val="0"/>
                <w:sz w:val="18"/>
                <w:szCs w:val="18"/>
              </w:rPr>
              <w:t>318</w:t>
            </w:r>
          </w:p>
        </w:tc>
      </w:tr>
    </w:tbl>
    <w:p w:rsidR="000046ED" w:rsidRPr="00407E71" w:rsidRDefault="000046ED" w:rsidP="00CC1500">
      <w:pPr>
        <w:tabs>
          <w:tab w:val="left" w:pos="284"/>
          <w:tab w:val="left" w:pos="567"/>
        </w:tabs>
        <w:spacing w:before="120"/>
        <w:ind w:left="993" w:hanging="993"/>
        <w:jc w:val="both"/>
        <w:rPr>
          <w:rFonts w:ascii="Tahoma" w:hAnsi="Tahoma" w:cs="Tahoma"/>
          <w:snapToGrid w:val="0"/>
        </w:rPr>
      </w:pPr>
      <w:r w:rsidRPr="00407E71">
        <w:rPr>
          <w:rFonts w:ascii="Tahoma" w:hAnsi="Tahoma" w:cs="Tahoma"/>
          <w:b/>
          <w:bCs/>
          <w:snapToGrid w:val="0"/>
        </w:rPr>
        <w:t>*</w:t>
      </w:r>
      <w:r w:rsidRPr="00407E71">
        <w:rPr>
          <w:rFonts w:ascii="Tahoma" w:hAnsi="Tahoma" w:cs="Tahoma"/>
          <w:b/>
          <w:bCs/>
          <w:snapToGrid w:val="0"/>
        </w:rPr>
        <w:tab/>
      </w:r>
      <w:r w:rsidRPr="00407E71">
        <w:rPr>
          <w:rFonts w:ascii="Tahoma" w:hAnsi="Tahoma" w:cs="Tahoma"/>
          <w:snapToGrid w:val="0"/>
        </w:rPr>
        <w:t>harmonizált uniós osztályozással nem rendelkező anyag, besorolásuk gyártói</w:t>
      </w:r>
    </w:p>
    <w:p w:rsidR="000046ED" w:rsidRPr="00CC1500" w:rsidRDefault="000046ED" w:rsidP="00CC1500">
      <w:pPr>
        <w:pStyle w:val="BodyTextIndent"/>
        <w:spacing w:before="40"/>
        <w:ind w:left="0"/>
      </w:pPr>
      <w:r w:rsidRPr="00CC1500">
        <w:t>A gyártó más veszélyes összetevő jelenlétét nem jelzi, egyéb összetevők nem tekinthetők a hatályos jogszabályok szerint veszélyes anyagnak vagy koncentrációjuk a termékben nem éri el azt a mértéket, amely fölött jelenlétét a veszélyesség szerinti besorolásnál fel kell tüntetni, illetve figyelembe kell venni.</w:t>
      </w:r>
    </w:p>
    <w:p w:rsidR="000046ED" w:rsidRPr="00CC1500" w:rsidRDefault="000046ED" w:rsidP="00CC1500">
      <w:pPr>
        <w:tabs>
          <w:tab w:val="left" w:pos="284"/>
        </w:tabs>
        <w:spacing w:before="40"/>
        <w:jc w:val="both"/>
        <w:rPr>
          <w:rFonts w:ascii="Tahoma" w:hAnsi="Tahoma" w:cs="Tahoma"/>
          <w:snapToGrid w:val="0"/>
        </w:rPr>
      </w:pPr>
      <w:r>
        <w:rPr>
          <w:rFonts w:ascii="Tahoma" w:hAnsi="Tahoma" w:cs="Tahoma"/>
          <w:snapToGrid w:val="0"/>
        </w:rPr>
        <w:t>A fenti veszélyjelek és</w:t>
      </w:r>
      <w:r w:rsidRPr="00CC1500">
        <w:rPr>
          <w:rFonts w:ascii="Tahoma" w:hAnsi="Tahoma" w:cs="Tahoma"/>
          <w:snapToGrid w:val="0"/>
        </w:rPr>
        <w:t xml:space="preserve"> H-mondatok a tiszta komponensekre vonatkoznak, a termék veszélyesség szerinti besorolását a 2. sz</w:t>
      </w:r>
      <w:r>
        <w:rPr>
          <w:rFonts w:ascii="Tahoma" w:hAnsi="Tahoma" w:cs="Tahoma"/>
          <w:snapToGrid w:val="0"/>
        </w:rPr>
        <w:t>akasz adja meg. A</w:t>
      </w:r>
      <w:r w:rsidRPr="00CC1500">
        <w:rPr>
          <w:rFonts w:ascii="Tahoma" w:hAnsi="Tahoma" w:cs="Tahoma"/>
          <w:snapToGrid w:val="0"/>
        </w:rPr>
        <w:t xml:space="preserve"> H-mondatok teljes szövegét lásd a 16. szakaszban.</w:t>
      </w:r>
    </w:p>
    <w:p w:rsidR="000046ED" w:rsidRDefault="000046E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0046ED" w:rsidRPr="005840A9" w:rsidRDefault="000046ED"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0046ED" w:rsidRPr="005840A9" w:rsidRDefault="000046ED" w:rsidP="00857BC3">
      <w:pPr>
        <w:pStyle w:val="BodyTextIndent"/>
        <w:spacing w:before="40"/>
        <w:ind w:left="0"/>
        <w:rPr>
          <w:b/>
          <w:bCs/>
        </w:rPr>
      </w:pPr>
      <w:r w:rsidRPr="005840A9">
        <w:rPr>
          <w:b/>
          <w:bCs/>
        </w:rPr>
        <w:t>4.1. Az elsősegély-nyújtási intézkedések ismertetése</w:t>
      </w:r>
    </w:p>
    <w:p w:rsidR="000046ED" w:rsidRDefault="000046ED" w:rsidP="00857BC3">
      <w:pPr>
        <w:pStyle w:val="BodyTextIndent"/>
        <w:spacing w:before="40"/>
        <w:ind w:left="0"/>
        <w:rPr>
          <w:b/>
          <w:bCs/>
        </w:rPr>
      </w:pPr>
      <w:r w:rsidRPr="001451C7">
        <w:rPr>
          <w:b/>
          <w:bCs/>
        </w:rPr>
        <w:t>Belélegzés esetén:</w:t>
      </w:r>
      <w:r w:rsidRPr="001451C7">
        <w:t xml:space="preserve"> </w:t>
      </w:r>
      <w:r>
        <w:t>nem releváns expozíció, a</w:t>
      </w:r>
      <w:r w:rsidRPr="001451C7">
        <w:t xml:space="preserve"> sérültet friss levegőre kell vinni</w:t>
      </w:r>
      <w:r>
        <w:t>.</w:t>
      </w:r>
      <w:r w:rsidRPr="001451C7">
        <w:rPr>
          <w:b/>
          <w:bCs/>
        </w:rPr>
        <w:t xml:space="preserve"> </w:t>
      </w:r>
    </w:p>
    <w:p w:rsidR="000046ED" w:rsidRDefault="000046ED" w:rsidP="00964C6F">
      <w:pPr>
        <w:pStyle w:val="BodyTextIndent"/>
        <w:spacing w:before="40"/>
        <w:ind w:left="0"/>
      </w:pPr>
      <w:r>
        <w:rPr>
          <w:b/>
          <w:bCs/>
        </w:rPr>
        <w:t>B</w:t>
      </w:r>
      <w:r w:rsidRPr="001451C7">
        <w:rPr>
          <w:b/>
          <w:bCs/>
        </w:rPr>
        <w:t>őrrel való érintkezés esetén:</w:t>
      </w:r>
      <w:r>
        <w:t xml:space="preserve"> folyó </w:t>
      </w:r>
      <w:r w:rsidRPr="001451C7">
        <w:t xml:space="preserve">vízzel le kell </w:t>
      </w:r>
      <w:r>
        <w:t>öblíteni.</w:t>
      </w:r>
    </w:p>
    <w:p w:rsidR="000046ED" w:rsidRPr="001451C7" w:rsidRDefault="000046ED" w:rsidP="00964C6F">
      <w:pPr>
        <w:pStyle w:val="BodyTextIndent"/>
        <w:spacing w:before="20"/>
        <w:ind w:left="0"/>
      </w:pPr>
      <w:r w:rsidRPr="001451C7">
        <w:rPr>
          <w:b/>
          <w:bCs/>
        </w:rPr>
        <w:t>Szembe kerülése esetén:</w:t>
      </w:r>
      <w:r w:rsidRPr="001451C7">
        <w:t xml:space="preserve"> </w:t>
      </w:r>
      <w:r>
        <w:t xml:space="preserve">alapos, 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0046ED" w:rsidRDefault="000046ED" w:rsidP="00857BC3">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azonnal </w:t>
      </w:r>
      <w:r w:rsidRPr="001451C7">
        <w:t>öblítsük vízzel</w:t>
      </w:r>
      <w:r>
        <w:t xml:space="preserve">, majd igyunk vizet, </w:t>
      </w:r>
      <w:r w:rsidRPr="001451C7">
        <w:t>forduljunk orvoshoz</w:t>
      </w:r>
      <w:r>
        <w:t>, mutassuk meg a címkét és vagy a biztonsági adatlapot.</w:t>
      </w:r>
    </w:p>
    <w:p w:rsidR="000046ED" w:rsidRPr="001C77FE" w:rsidRDefault="000046ED" w:rsidP="00857BC3">
      <w:pPr>
        <w:pStyle w:val="BodyTextIndent"/>
        <w:spacing w:before="40"/>
        <w:ind w:left="0"/>
      </w:pPr>
      <w:r w:rsidRPr="005840A9">
        <w:rPr>
          <w:b/>
          <w:bCs/>
        </w:rPr>
        <w:t>4.2. A legfontosabb – akut és késleltetett – tünetek és hatások:</w:t>
      </w:r>
      <w:r w:rsidRPr="001C77FE">
        <w:t xml:space="preserve"> </w:t>
      </w:r>
      <w:r>
        <w:t xml:space="preserve">szembejutva </w:t>
      </w:r>
      <w:r w:rsidRPr="001C77FE">
        <w:t>irritálhat</w:t>
      </w:r>
      <w:r>
        <w:t>, károsodást okozhat hosszas és tartós érintkezés esetén.</w:t>
      </w:r>
      <w:r w:rsidRPr="001C77FE">
        <w:t xml:space="preserve"> </w:t>
      </w:r>
    </w:p>
    <w:p w:rsidR="000046ED" w:rsidRPr="00430026" w:rsidRDefault="000046ED" w:rsidP="00A15CE7">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0046ED" w:rsidRDefault="000046E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0046ED" w:rsidRDefault="000046ED"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0046ED" w:rsidRPr="0014339B" w:rsidRDefault="000046ED" w:rsidP="00710AE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nem ismert.</w:t>
      </w:r>
    </w:p>
    <w:p w:rsidR="000046ED" w:rsidRDefault="000046ED" w:rsidP="00616803">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0046ED" w:rsidRPr="0014339B" w:rsidRDefault="000046ED" w:rsidP="00616803">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0046ED" w:rsidRPr="00A254C1" w:rsidRDefault="000046ED" w:rsidP="00616803">
      <w:pPr>
        <w:spacing w:before="60"/>
        <w:jc w:val="both"/>
        <w:rPr>
          <w:rFonts w:ascii="Tahoma" w:hAnsi="Tahoma" w:cs="Tahoma"/>
          <w:snapToGrid w:val="0"/>
        </w:rPr>
      </w:pP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nem robbanásveszélyes, nem öngyulladó.</w:t>
      </w:r>
    </w:p>
    <w:p w:rsidR="000046ED" w:rsidRDefault="000046E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0046ED" w:rsidRPr="00A37543" w:rsidRDefault="000046ED"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 xml:space="preserve">ügyeljünk </w:t>
      </w:r>
      <w:r>
        <w:rPr>
          <w:rFonts w:ascii="Tahoma" w:hAnsi="Tahoma" w:cs="Tahoma"/>
          <w:snapToGrid w:val="0"/>
        </w:rPr>
        <w:t>a csúszásveszélyre, ha a szembe</w:t>
      </w:r>
      <w:r w:rsidRPr="00A37543">
        <w:rPr>
          <w:rFonts w:ascii="Tahoma" w:hAnsi="Tahoma" w:cs="Tahoma"/>
          <w:snapToGrid w:val="0"/>
        </w:rPr>
        <w:t>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0046ED" w:rsidRDefault="000046ED" w:rsidP="00A37543">
      <w:pPr>
        <w:keepNext/>
        <w:spacing w:before="40"/>
        <w:jc w:val="both"/>
        <w:rPr>
          <w:rFonts w:ascii="Tahoma" w:hAnsi="Tahoma" w:cs="Tahoma"/>
          <w:b/>
          <w:bCs/>
          <w:snapToGrid w:val="0"/>
        </w:rPr>
      </w:pPr>
      <w:r>
        <w:rPr>
          <w:rFonts w:ascii="Tahoma" w:hAnsi="Tahoma" w:cs="Tahoma"/>
          <w:b/>
          <w:bCs/>
          <w:snapToGrid w:val="0"/>
        </w:rPr>
        <w:t>6.2. A területi elhatárolás és a szennyezés mentesítés módszerei és anyagai</w:t>
      </w:r>
    </w:p>
    <w:p w:rsidR="000046ED" w:rsidRDefault="000046ED"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0046ED" w:rsidRDefault="000046ED" w:rsidP="00616803">
      <w:pPr>
        <w:spacing w:before="60"/>
        <w:jc w:val="both"/>
        <w:rPr>
          <w:rFonts w:ascii="Tahoma" w:hAnsi="Tahoma" w:cs="Tahoma"/>
          <w:snapToGrid w:val="0"/>
        </w:rPr>
      </w:pPr>
      <w:r w:rsidRPr="0014339B">
        <w:rPr>
          <w:rFonts w:ascii="Tahoma" w:hAnsi="Tahoma" w:cs="Tahoma"/>
          <w:b/>
          <w:bCs/>
          <w:snapToGrid w:val="0"/>
        </w:rPr>
        <w:t>6.3. A területi elhatárolás és a szennyezés mentesítés módszerei és anyagai</w:t>
      </w:r>
      <w:r>
        <w:rPr>
          <w:rFonts w:ascii="Tahoma" w:hAnsi="Tahoma" w:cs="Tahoma"/>
          <w:b/>
          <w:bCs/>
          <w:snapToGrid w:val="0"/>
        </w:rPr>
        <w:t xml:space="preserve">: </w:t>
      </w:r>
      <w:r>
        <w:rPr>
          <w:rFonts w:ascii="Tahoma" w:hAnsi="Tahoma" w:cs="Tahoma"/>
          <w:snapToGrid w:val="0"/>
        </w:rPr>
        <w:t>n</w:t>
      </w:r>
      <w:r w:rsidRPr="0014339B">
        <w:rPr>
          <w:rFonts w:ascii="Tahoma" w:hAnsi="Tahoma" w:cs="Tahoma"/>
          <w:snapToGrid w:val="0"/>
        </w:rPr>
        <w:t xml:space="preserve">agy mennyiségű terméket </w:t>
      </w:r>
      <w:r>
        <w:rPr>
          <w:rFonts w:ascii="Tahoma" w:hAnsi="Tahoma" w:cs="Tahoma"/>
          <w:snapToGrid w:val="0"/>
        </w:rPr>
        <w:t xml:space="preserve">mechanikusan össze kell gyűjteni. </w:t>
      </w:r>
      <w:r w:rsidRPr="0014339B">
        <w:rPr>
          <w:rFonts w:ascii="Tahoma" w:hAnsi="Tahoma" w:cs="Tahoma"/>
          <w:snapToGrid w:val="0"/>
        </w:rPr>
        <w:t>A maradékot bő vizes felmosással lehet feltakarítani</w:t>
      </w:r>
      <w:r>
        <w:rPr>
          <w:rFonts w:ascii="Tahoma" w:hAnsi="Tahoma" w:cs="Tahoma"/>
          <w:snapToGrid w:val="0"/>
        </w:rPr>
        <w:t>.</w:t>
      </w:r>
    </w:p>
    <w:p w:rsidR="000046ED" w:rsidRPr="0014339B" w:rsidRDefault="000046ED"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0046ED" w:rsidRDefault="000046ED"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0046ED" w:rsidRPr="000E1DD2" w:rsidRDefault="000046ED" w:rsidP="000E1DD2">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xml:space="preserve">! </w:t>
      </w:r>
    </w:p>
    <w:p w:rsidR="000046ED" w:rsidRPr="00293D58" w:rsidRDefault="000046ED" w:rsidP="00C110D4">
      <w:pPr>
        <w:pStyle w:val="BodyTextIndent"/>
        <w:ind w:left="0"/>
      </w:pPr>
      <w:r w:rsidRPr="008D5244">
        <w:rPr>
          <w:b/>
          <w:bCs/>
        </w:rPr>
        <w:t>Tűz- és robbanásvédelem:</w:t>
      </w:r>
      <w:r w:rsidRPr="008D5244">
        <w:t xml:space="preserve"> speciális intézkedés nem szükséges.</w:t>
      </w:r>
    </w:p>
    <w:p w:rsidR="000046ED" w:rsidRPr="0014339B" w:rsidRDefault="000046ED" w:rsidP="00C110D4">
      <w:pPr>
        <w:pStyle w:val="BodyTextIndent"/>
        <w:ind w:left="0"/>
        <w:rPr>
          <w:b/>
          <w:bCs/>
        </w:rPr>
      </w:pPr>
      <w:r w:rsidRPr="0014339B">
        <w:rPr>
          <w:b/>
          <w:bCs/>
        </w:rPr>
        <w:t>7.2. A biztonságos tárolás feltételei, az esetleges összeférhetetlenséggel együtt</w:t>
      </w:r>
    </w:p>
    <w:p w:rsidR="000046ED" w:rsidRPr="000E1DD2" w:rsidRDefault="000046ED"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5°C felett.</w:t>
      </w:r>
    </w:p>
    <w:p w:rsidR="000046ED" w:rsidRPr="0014339B" w:rsidRDefault="000046ED"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mosogatószer.</w:t>
      </w:r>
      <w:r w:rsidRPr="0014339B">
        <w:rPr>
          <w:rFonts w:ascii="Tahoma" w:hAnsi="Tahoma" w:cs="Tahoma"/>
        </w:rPr>
        <w:t xml:space="preserve"> A felhasználók mindig olvassák el a használati útmutatót, és tartsák be a biztonságos kezelésre és felhasználásra vonatkozó utasításokat.</w:t>
      </w:r>
    </w:p>
    <w:p w:rsidR="000046ED" w:rsidRDefault="000046ED"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0046ED" w:rsidRDefault="000046ED" w:rsidP="00CA2702">
      <w:pPr>
        <w:pStyle w:val="BodyTextIndent"/>
        <w:ind w:left="0"/>
      </w:pPr>
      <w:r w:rsidRPr="006E159B">
        <w:rPr>
          <w:b/>
          <w:bCs/>
        </w:rPr>
        <w:t>8.1. Ellenőrzési paraméterek</w:t>
      </w:r>
      <w:r>
        <w:rPr>
          <w:b/>
          <w:bCs/>
        </w:rPr>
        <w:t>/f</w:t>
      </w:r>
      <w:r w:rsidRPr="006E159B">
        <w:rPr>
          <w:b/>
          <w:bCs/>
        </w:rPr>
        <w:t>oglalkozási expozíciós határértékek:</w:t>
      </w:r>
      <w:r w:rsidRPr="006E159B">
        <w:t xml:space="preserve"> (a munkahelyi levegőben megengedett határérték):</w:t>
      </w:r>
      <w:r>
        <w:t xml:space="preserve"> nincs.</w:t>
      </w:r>
    </w:p>
    <w:p w:rsidR="000046ED" w:rsidRDefault="000046ED" w:rsidP="00F36D8C">
      <w:pPr>
        <w:tabs>
          <w:tab w:val="left" w:pos="2835"/>
        </w:tabs>
        <w:spacing w:before="60"/>
        <w:ind w:right="62"/>
        <w:rPr>
          <w:rFonts w:ascii="Tahoma" w:hAnsi="Tahoma" w:cs="Tahoma"/>
          <w:b/>
          <w:bCs/>
        </w:rPr>
      </w:pPr>
      <w:r>
        <w:rPr>
          <w:rFonts w:ascii="Tahoma" w:hAnsi="Tahoma" w:cs="Tahoma"/>
          <w:b/>
          <w:bCs/>
        </w:rPr>
        <w:t>Rendelkezésre álló DNEL</w:t>
      </w:r>
      <w:r>
        <w:rPr>
          <w:rStyle w:val="FootnoteReference"/>
        </w:rPr>
        <w:footnoteReference w:id="4"/>
      </w:r>
      <w:r>
        <w:rPr>
          <w:rFonts w:ascii="Tahoma" w:hAnsi="Tahoma" w:cs="Tahoma"/>
          <w:b/>
          <w:bCs/>
        </w:rPr>
        <w:t xml:space="preserve"> , NOAEL</w:t>
      </w:r>
      <w:r>
        <w:rPr>
          <w:rStyle w:val="FootnoteReference"/>
          <w:color w:val="000000"/>
        </w:rPr>
        <w:footnoteReference w:id="5"/>
      </w:r>
      <w:r>
        <w:rPr>
          <w:rFonts w:ascii="Tahoma" w:hAnsi="Tahoma" w:cs="Tahoma"/>
          <w:color w:val="000000"/>
        </w:rPr>
        <w:t xml:space="preserve"> </w:t>
      </w:r>
      <w:r>
        <w:rPr>
          <w:rFonts w:ascii="Tahoma" w:hAnsi="Tahoma" w:cs="Tahoma"/>
          <w:b/>
          <w:bCs/>
        </w:rPr>
        <w:t>és PNEC</w:t>
      </w:r>
      <w:r>
        <w:rPr>
          <w:rStyle w:val="FootnoteReference"/>
        </w:rPr>
        <w:footnoteReference w:id="6"/>
      </w:r>
      <w:r w:rsidRPr="00583F32">
        <w:rPr>
          <w:rFonts w:ascii="Tahoma" w:hAnsi="Tahoma" w:cs="Tahoma"/>
        </w:rPr>
        <w:t xml:space="preserve"> </w:t>
      </w:r>
      <w:r>
        <w:rPr>
          <w:rFonts w:ascii="Tahoma" w:hAnsi="Tahoma" w:cs="Tahoma"/>
          <w:b/>
          <w:bCs/>
        </w:rPr>
        <w:t xml:space="preserve"> értékek: </w:t>
      </w:r>
    </w:p>
    <w:p w:rsidR="000046ED" w:rsidRPr="008D7012" w:rsidRDefault="000046ED" w:rsidP="00F36D8C">
      <w:pPr>
        <w:tabs>
          <w:tab w:val="left" w:pos="2835"/>
        </w:tabs>
        <w:spacing w:before="60"/>
        <w:ind w:right="62"/>
        <w:rPr>
          <w:rFonts w:ascii="Tahoma" w:hAnsi="Tahoma" w:cs="Tahoma"/>
          <w:b/>
          <w:bCs/>
        </w:rPr>
      </w:pPr>
      <w:r>
        <w:rPr>
          <w:rFonts w:ascii="Tahoma" w:hAnsi="Tahoma" w:cs="Tahoma"/>
          <w:b/>
          <w:bCs/>
        </w:rPr>
        <w:t>N</w:t>
      </w:r>
      <w:r w:rsidRPr="008D7012">
        <w:rPr>
          <w:rFonts w:ascii="Tahoma" w:hAnsi="Tahoma" w:cs="Tahoma"/>
          <w:b/>
          <w:bCs/>
        </w:rPr>
        <w:t>átrium-alkil(C</w:t>
      </w:r>
      <w:r w:rsidRPr="008D7012">
        <w:rPr>
          <w:rFonts w:ascii="Tahoma" w:hAnsi="Tahoma" w:cs="Tahoma"/>
          <w:b/>
          <w:bCs/>
          <w:vertAlign w:val="subscript"/>
        </w:rPr>
        <w:t>12-14</w:t>
      </w:r>
      <w:r w:rsidRPr="008D7012">
        <w:rPr>
          <w:rFonts w:ascii="Tahoma" w:hAnsi="Tahoma" w:cs="Tahoma"/>
          <w:b/>
          <w:bCs/>
        </w:rPr>
        <w:t>)-éter-szulfát</w:t>
      </w:r>
    </w:p>
    <w:p w:rsidR="000046ED" w:rsidRPr="00F36D8C" w:rsidRDefault="000046ED"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távú/belégzés, szisztémás hatás): 175 mg/m</w:t>
      </w:r>
      <w:r w:rsidRPr="00F36D8C">
        <w:rPr>
          <w:rFonts w:ascii="Tahoma" w:hAnsi="Tahoma" w:cs="Tahoma"/>
          <w:snapToGrid w:val="0"/>
          <w:spacing w:val="-4"/>
          <w:vertAlign w:val="superscript"/>
        </w:rPr>
        <w:t>3</w:t>
      </w:r>
      <w:r w:rsidRPr="00F36D8C">
        <w:rPr>
          <w:rFonts w:ascii="Tahoma" w:hAnsi="Tahoma" w:cs="Tahoma"/>
          <w:snapToGrid w:val="0"/>
          <w:spacing w:val="-4"/>
        </w:rPr>
        <w:t>, foglalkozásszerű felhasználó</w:t>
      </w:r>
    </w:p>
    <w:p w:rsidR="000046ED" w:rsidRPr="00F36D8C" w:rsidRDefault="000046ED"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távú/belégzés, szisztémás hatás):   52 mg/m</w:t>
      </w:r>
      <w:r w:rsidRPr="00F36D8C">
        <w:rPr>
          <w:rFonts w:ascii="Tahoma" w:hAnsi="Tahoma" w:cs="Tahoma"/>
          <w:snapToGrid w:val="0"/>
          <w:spacing w:val="-4"/>
          <w:vertAlign w:val="superscript"/>
        </w:rPr>
        <w:t>3</w:t>
      </w:r>
      <w:r w:rsidRPr="00F36D8C">
        <w:rPr>
          <w:rFonts w:ascii="Tahoma" w:hAnsi="Tahoma" w:cs="Tahoma"/>
          <w:snapToGrid w:val="0"/>
          <w:spacing w:val="-4"/>
        </w:rPr>
        <w:t>, lakossági felhasználó</w:t>
      </w:r>
    </w:p>
    <w:p w:rsidR="000046ED" w:rsidRPr="00F36D8C" w:rsidRDefault="000046ED"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2750 mg/ttkg/nap, foglalkozásszerű felhasználó</w:t>
      </w:r>
    </w:p>
    <w:p w:rsidR="000046ED" w:rsidRPr="00F36D8C" w:rsidRDefault="000046ED"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1650 mg/ttkg/nap, lakossági felhasználó</w:t>
      </w:r>
    </w:p>
    <w:p w:rsidR="000046ED" w:rsidRPr="00F36D8C" w:rsidRDefault="000046ED"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 orális expozíció, szisztémás hatás): 15 mg/ttkg/nap, lakossági felhasználó</w:t>
      </w:r>
    </w:p>
    <w:p w:rsidR="000046ED" w:rsidRPr="00583F32" w:rsidRDefault="000046ED"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0,24 mg/l; PNEC (édesvízi üledék): 5,45 mg/kg</w:t>
      </w:r>
    </w:p>
    <w:p w:rsidR="000046ED" w:rsidRPr="00583F32" w:rsidRDefault="000046ED" w:rsidP="00F36D8C">
      <w:pPr>
        <w:pStyle w:val="Default"/>
        <w:tabs>
          <w:tab w:val="left" w:pos="2835"/>
        </w:tabs>
        <w:rPr>
          <w:rFonts w:ascii="Tahoma" w:hAnsi="Tahoma" w:cs="Tahoma"/>
          <w:sz w:val="20"/>
          <w:szCs w:val="20"/>
        </w:rPr>
      </w:pPr>
      <w:r w:rsidRPr="00583F32">
        <w:rPr>
          <w:rFonts w:ascii="Tahoma" w:hAnsi="Tahoma" w:cs="Tahoma"/>
          <w:sz w:val="20"/>
          <w:szCs w:val="20"/>
        </w:rPr>
        <w:t>PNEC (STP): 10 g/l, PNEC (talaj): 0,946 mg/kg</w:t>
      </w:r>
    </w:p>
    <w:p w:rsidR="000046ED" w:rsidRPr="001E4463" w:rsidRDefault="000046ED" w:rsidP="0034100E">
      <w:pPr>
        <w:pStyle w:val="BodyTextIndent"/>
        <w:spacing w:before="120"/>
        <w:ind w:left="0"/>
        <w:rPr>
          <w:sz w:val="18"/>
          <w:szCs w:val="18"/>
        </w:rPr>
      </w:pPr>
      <w:r w:rsidRPr="009B325F">
        <w:rPr>
          <w:b/>
          <w:bCs/>
        </w:rPr>
        <w:t>8.</w:t>
      </w:r>
      <w:r>
        <w:rPr>
          <w:b/>
          <w:bCs/>
        </w:rPr>
        <w:t>2</w:t>
      </w:r>
      <w:r w:rsidRPr="009B325F">
        <w:rPr>
          <w:b/>
          <w:bCs/>
        </w:rPr>
        <w:t>. A munkavégzés feltételei</w:t>
      </w:r>
      <w:r>
        <w:rPr>
          <w:b/>
          <w:bCs/>
        </w:rPr>
        <w:t>:</w:t>
      </w:r>
      <w:r w:rsidRPr="00356E1F">
        <w:t xml:space="preserve"> </w:t>
      </w:r>
      <w:r>
        <w:t xml:space="preserve">a használat során be kell tartani a vegyi anyagokkal folytatott tevékenységek általános biztonsági és higiénés előírásait. </w:t>
      </w:r>
    </w:p>
    <w:p w:rsidR="000046ED" w:rsidRDefault="000046ED" w:rsidP="000A36D7">
      <w:pPr>
        <w:pStyle w:val="BodyTextIndent"/>
        <w:spacing w:before="80"/>
        <w:ind w:left="0"/>
        <w:rPr>
          <w:b/>
          <w:bCs/>
        </w:rPr>
      </w:pPr>
      <w:r>
        <w:rPr>
          <w:b/>
          <w:bCs/>
        </w:rPr>
        <w:t>8.3. Személyi védelem</w:t>
      </w:r>
    </w:p>
    <w:p w:rsidR="000046ED" w:rsidRDefault="000046ED" w:rsidP="0015371B">
      <w:pPr>
        <w:pStyle w:val="BodyTextIndent"/>
        <w:spacing w:before="0"/>
        <w:ind w:left="0"/>
      </w:pPr>
      <w:r>
        <w:rPr>
          <w:b/>
          <w:bCs/>
        </w:rPr>
        <w:t xml:space="preserve">Műszaki intézkedések: </w:t>
      </w:r>
      <w:r>
        <w:t>nem szükséges.</w:t>
      </w:r>
    </w:p>
    <w:p w:rsidR="000046ED" w:rsidRDefault="000046ED" w:rsidP="007E27A7">
      <w:pPr>
        <w:pStyle w:val="BodyTextIndent"/>
        <w:spacing w:before="40"/>
        <w:ind w:left="0"/>
        <w:rPr>
          <w:b/>
          <w:bCs/>
        </w:rPr>
      </w:pPr>
      <w:r>
        <w:rPr>
          <w:b/>
          <w:bCs/>
        </w:rPr>
        <w:t>Higiéniai intézkedések:</w:t>
      </w:r>
    </w:p>
    <w:p w:rsidR="000046ED" w:rsidRDefault="000046ED" w:rsidP="00874D02">
      <w:pPr>
        <w:pStyle w:val="BodyTextIndent"/>
        <w:numPr>
          <w:ilvl w:val="0"/>
          <w:numId w:val="50"/>
        </w:numPr>
        <w:spacing w:before="0"/>
        <w:ind w:left="714" w:hanging="357"/>
      </w:pPr>
      <w:r>
        <w:t>Tartsuk távol élelmiszerektől, italoktól és takarmányoktól.</w:t>
      </w:r>
    </w:p>
    <w:p w:rsidR="000046ED" w:rsidRDefault="000046ED" w:rsidP="00874D02">
      <w:pPr>
        <w:pStyle w:val="BodyTextIndent"/>
        <w:numPr>
          <w:ilvl w:val="0"/>
          <w:numId w:val="50"/>
        </w:numPr>
        <w:spacing w:before="0"/>
        <w:ind w:left="714" w:hanging="357"/>
      </w:pPr>
      <w:r>
        <w:t>Körültekintő munkával, használattal kerüljük el a termék szembejutását!</w:t>
      </w:r>
    </w:p>
    <w:p w:rsidR="000046ED" w:rsidRDefault="000046ED" w:rsidP="00F640E1">
      <w:pPr>
        <w:pStyle w:val="BodyTextIndent"/>
        <w:spacing w:before="80"/>
        <w:ind w:left="0"/>
        <w:rPr>
          <w:b/>
          <w:bCs/>
        </w:rPr>
      </w:pPr>
      <w:r w:rsidRPr="00CA2702">
        <w:rPr>
          <w:b/>
          <w:bCs/>
        </w:rPr>
        <w:t>Személyi védőfelszerelések</w:t>
      </w:r>
      <w:r>
        <w:rPr>
          <w:b/>
          <w:bCs/>
        </w:rPr>
        <w:t xml:space="preserve"> lakossági felhasználás esetén:</w:t>
      </w:r>
    </w:p>
    <w:p w:rsidR="000046ED" w:rsidRDefault="000046ED" w:rsidP="00CA2702">
      <w:pPr>
        <w:pStyle w:val="BodyTextIndent"/>
        <w:numPr>
          <w:ilvl w:val="0"/>
          <w:numId w:val="50"/>
        </w:numPr>
        <w:tabs>
          <w:tab w:val="clear" w:pos="1701"/>
        </w:tabs>
        <w:spacing w:before="0"/>
        <w:ind w:left="709"/>
      </w:pPr>
      <w:r w:rsidRPr="00874D02">
        <w:rPr>
          <w:b/>
          <w:bCs/>
        </w:rPr>
        <w:t>Légutak védelme:</w:t>
      </w:r>
      <w:r w:rsidRPr="00874D02">
        <w:t xml:space="preserve"> nem szükséges</w:t>
      </w:r>
      <w:r>
        <w:t>.</w:t>
      </w:r>
    </w:p>
    <w:p w:rsidR="000046ED" w:rsidRPr="006727E5" w:rsidRDefault="000046ED" w:rsidP="00A75279">
      <w:pPr>
        <w:pStyle w:val="BodyTextIndent"/>
        <w:numPr>
          <w:ilvl w:val="0"/>
          <w:numId w:val="50"/>
        </w:numPr>
        <w:tabs>
          <w:tab w:val="clear" w:pos="1701"/>
        </w:tabs>
        <w:spacing w:before="40"/>
        <w:ind w:hanging="357"/>
        <w:rPr>
          <w:b/>
          <w:bCs/>
        </w:rPr>
      </w:pPr>
      <w:r w:rsidRPr="00CA2702">
        <w:rPr>
          <w:b/>
          <w:bCs/>
        </w:rPr>
        <w:t>Kézvédelem:</w:t>
      </w:r>
      <w:r w:rsidRPr="00CA2702">
        <w:t xml:space="preserve"> érzékeny bőrű személyeknek</w:t>
      </w:r>
      <w:r>
        <w:t xml:space="preserve"> védőkesztyű használata ajánlott.</w:t>
      </w:r>
    </w:p>
    <w:p w:rsidR="000046ED" w:rsidRPr="00CA2702" w:rsidRDefault="000046ED" w:rsidP="00A75279">
      <w:pPr>
        <w:pStyle w:val="BodyTextIndent"/>
        <w:numPr>
          <w:ilvl w:val="0"/>
          <w:numId w:val="50"/>
        </w:numPr>
        <w:tabs>
          <w:tab w:val="clear" w:pos="1701"/>
        </w:tabs>
        <w:spacing w:before="40"/>
        <w:ind w:hanging="357"/>
        <w:rPr>
          <w:b/>
          <w:bCs/>
        </w:rPr>
      </w:pPr>
      <w:r>
        <w:rPr>
          <w:b/>
          <w:bCs/>
        </w:rPr>
        <w:t xml:space="preserve">Szemvédelem: </w:t>
      </w:r>
      <w:r>
        <w:t>nem szükséges. Nagy mennyiségek kezelése esetén mentesítéskor szorosan záródó védőszemüveg/védőálarc használata ajánlott.</w:t>
      </w:r>
    </w:p>
    <w:p w:rsidR="000046ED" w:rsidRPr="000376BB" w:rsidRDefault="000046ED" w:rsidP="00874D02">
      <w:pPr>
        <w:pStyle w:val="BodyTextIndent"/>
        <w:tabs>
          <w:tab w:val="clear" w:pos="1701"/>
        </w:tabs>
        <w:spacing w:before="80"/>
        <w:ind w:left="0"/>
        <w:outlineLvl w:val="0"/>
      </w:pPr>
      <w:r>
        <w:rPr>
          <w:b/>
          <w:bCs/>
        </w:rPr>
        <w:t xml:space="preserve">8.4. </w:t>
      </w:r>
      <w:r w:rsidRPr="00E80838">
        <w:rPr>
          <w:b/>
          <w:bCs/>
        </w:rPr>
        <w:t>Környezetvédelem</w:t>
      </w:r>
      <w:r>
        <w:rPr>
          <w:b/>
          <w:bCs/>
        </w:rPr>
        <w:t xml:space="preserve">: </w:t>
      </w:r>
      <w:r w:rsidRPr="000376BB">
        <w:t>ne engedjük, hogy a hígítatlan termék, ill</w:t>
      </w:r>
      <w:r>
        <w:t>.</w:t>
      </w:r>
      <w:r w:rsidRPr="000376BB">
        <w:t xml:space="preserve"> nagy mennyiségek a csatornába, víztestekbe ju</w:t>
      </w:r>
      <w:r>
        <w:t>sson</w:t>
      </w:r>
      <w:r w:rsidRPr="000376BB">
        <w:t xml:space="preserve">. </w:t>
      </w:r>
    </w:p>
    <w:p w:rsidR="000046ED" w:rsidRDefault="000046E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0046ED" w:rsidRDefault="000046ED"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0046ED" w:rsidRDefault="000046ED"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0046ED" w:rsidRDefault="000046ED"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viszkózus folyadék</w:t>
      </w:r>
    </w:p>
    <w:p w:rsidR="000046ED" w:rsidRDefault="000046ED"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 opálos</w:t>
      </w:r>
    </w:p>
    <w:p w:rsidR="000046ED" w:rsidRDefault="000046ED"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0046ED" w:rsidRPr="00DE2E56" w:rsidRDefault="000046ED"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0046ED" w:rsidRDefault="000046ED"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4 – 7 (10 g/l oldat, 20°C-on)</w:t>
      </w:r>
    </w:p>
    <w:p w:rsidR="000046ED" w:rsidRDefault="000046ED"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0046ED" w:rsidRDefault="000046ED"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releváns</w:t>
      </w:r>
    </w:p>
    <w:p w:rsidR="000046ED" w:rsidRDefault="000046ED"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gyúlékony</w:t>
      </w:r>
    </w:p>
    <w:p w:rsidR="000046ED" w:rsidRDefault="000046ED"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0046ED" w:rsidRDefault="000046ED"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0046ED" w:rsidRDefault="000046ED"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0046ED" w:rsidRDefault="000046ED"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0046ED" w:rsidRDefault="000046ED"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0046ED" w:rsidRDefault="000046ED"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0046ED" w:rsidRDefault="000046ED"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0046ED" w:rsidRDefault="000046ED"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0046ED" w:rsidRDefault="000046ED"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0046ED" w:rsidRDefault="000046ED"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0046ED" w:rsidRDefault="000046ED"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0046ED" w:rsidRDefault="000046ED" w:rsidP="00102AFA">
      <w:pPr>
        <w:tabs>
          <w:tab w:val="left" w:pos="2552"/>
        </w:tabs>
        <w:ind w:left="284" w:firstLine="142"/>
        <w:jc w:val="both"/>
        <w:rPr>
          <w:rFonts w:ascii="Tahoma" w:hAnsi="Tahoma" w:cs="Tahoma"/>
          <w:snapToGrid w:val="0"/>
        </w:rPr>
      </w:pPr>
      <w:r>
        <w:rPr>
          <w:rFonts w:ascii="Tahoma" w:hAnsi="Tahoma" w:cs="Tahoma"/>
          <w:snapToGrid w:val="0"/>
        </w:rPr>
        <w:t>Kifolyási idő:</w:t>
      </w:r>
      <w:r>
        <w:rPr>
          <w:rFonts w:ascii="Tahoma" w:hAnsi="Tahoma" w:cs="Tahoma"/>
          <w:snapToGrid w:val="0"/>
        </w:rPr>
        <w:tab/>
        <w:t>min. 20 sec</w:t>
      </w:r>
    </w:p>
    <w:p w:rsidR="000046ED" w:rsidRDefault="000046ED"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0,00%</w:t>
      </w:r>
    </w:p>
    <w:p w:rsidR="000046ED" w:rsidRDefault="000046ED"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0046ED" w:rsidRDefault="000046ED"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0046ED" w:rsidRPr="00530275" w:rsidRDefault="000046ED" w:rsidP="00830A55">
      <w:pPr>
        <w:rPr>
          <w:rFonts w:ascii="Tahoma" w:hAnsi="Tahoma" w:cs="Tahoma"/>
          <w:snapToGrid w:val="0"/>
        </w:rPr>
      </w:pPr>
      <w:r w:rsidRPr="00530275">
        <w:rPr>
          <w:rFonts w:ascii="Tahoma" w:hAnsi="Tahoma" w:cs="Tahoma"/>
          <w:b/>
          <w:bCs/>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0046ED" w:rsidRPr="00530275" w:rsidRDefault="000046ED" w:rsidP="00830A55">
      <w:pPr>
        <w:spacing w:before="40"/>
        <w:rPr>
          <w:rFonts w:ascii="Tahoma" w:hAnsi="Tahoma" w:cs="Tahoma"/>
          <w:snapToGrid w:val="0"/>
        </w:rPr>
      </w:pPr>
      <w:r w:rsidRPr="00530275">
        <w:rPr>
          <w:rFonts w:ascii="Tahoma" w:hAnsi="Tahoma" w:cs="Tahoma"/>
          <w:b/>
          <w:bCs/>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0046ED" w:rsidRPr="00D80FB5" w:rsidRDefault="000046ED" w:rsidP="00830A55">
      <w:pPr>
        <w:spacing w:before="40"/>
        <w:rPr>
          <w:rFonts w:ascii="Tahoma" w:hAnsi="Tahoma" w:cs="Tahoma"/>
          <w:snapToGrid w:val="0"/>
        </w:rPr>
      </w:pPr>
      <w:r w:rsidRPr="00530275">
        <w:rPr>
          <w:rFonts w:ascii="Tahoma" w:hAnsi="Tahoma" w:cs="Tahoma"/>
          <w:b/>
          <w:bCs/>
          <w:snapToGrid w:val="0"/>
        </w:rPr>
        <w:t xml:space="preserve">10.3. A veszélyes reakciók lehetősége: </w:t>
      </w:r>
      <w:r w:rsidRPr="00D80FB5">
        <w:rPr>
          <w:rFonts w:ascii="Tahoma" w:hAnsi="Tahoma" w:cs="Tahoma"/>
          <w:snapToGrid w:val="0"/>
        </w:rPr>
        <w:t>savak, oxidálószerek.</w:t>
      </w:r>
    </w:p>
    <w:p w:rsidR="000046ED" w:rsidRDefault="000046ED" w:rsidP="00830A55">
      <w:pPr>
        <w:spacing w:before="40"/>
        <w:rPr>
          <w:rFonts w:ascii="Tahoma" w:hAnsi="Tahoma" w:cs="Tahoma"/>
          <w:b/>
          <w:bCs/>
          <w:snapToGrid w:val="0"/>
        </w:rPr>
      </w:pPr>
      <w:r w:rsidRPr="00530275">
        <w:rPr>
          <w:rFonts w:ascii="Tahoma" w:hAnsi="Tahoma" w:cs="Tahoma"/>
          <w:b/>
          <w:bCs/>
          <w:snapToGrid w:val="0"/>
        </w:rPr>
        <w:t xml:space="preserve">10.4. Kerülendő körülmények: </w:t>
      </w:r>
      <w:r w:rsidRPr="00C04831">
        <w:rPr>
          <w:rFonts w:ascii="Tahoma" w:hAnsi="Tahoma" w:cs="Tahoma"/>
          <w:snapToGrid w:val="0"/>
        </w:rPr>
        <w:t>fagy,</w:t>
      </w:r>
      <w:r>
        <w:rPr>
          <w:rFonts w:ascii="Tahoma" w:hAnsi="Tahoma" w:cs="Tahoma"/>
          <w:b/>
          <w:bCs/>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0046ED" w:rsidRDefault="000046ED" w:rsidP="00830A55">
      <w:pPr>
        <w:spacing w:before="40"/>
        <w:rPr>
          <w:rFonts w:ascii="Tahoma" w:hAnsi="Tahoma" w:cs="Tahoma"/>
        </w:rPr>
      </w:pPr>
      <w:r w:rsidRPr="00530275">
        <w:rPr>
          <w:rFonts w:ascii="Tahoma" w:hAnsi="Tahoma" w:cs="Tahoma"/>
          <w:b/>
          <w:bCs/>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0046ED" w:rsidRPr="00530275" w:rsidRDefault="000046ED" w:rsidP="00830A55">
      <w:pPr>
        <w:spacing w:before="40"/>
        <w:rPr>
          <w:rFonts w:ascii="Tahoma" w:hAnsi="Tahoma" w:cs="Tahoma"/>
          <w:snapToGrid w:val="0"/>
        </w:rPr>
      </w:pPr>
      <w:r w:rsidRPr="00EC65D8">
        <w:rPr>
          <w:rFonts w:ascii="Tahoma" w:hAnsi="Tahoma" w:cs="Tahoma"/>
          <w:b/>
          <w:bCs/>
        </w:rPr>
        <w:t>10.6. Veszélyes bomlástermékek:</w:t>
      </w:r>
      <w:r>
        <w:rPr>
          <w:rFonts w:ascii="Tahoma" w:hAnsi="Tahoma" w:cs="Tahoma"/>
        </w:rPr>
        <w:t xml:space="preserve"> normál körülmények között nem ismert.</w:t>
      </w:r>
    </w:p>
    <w:p w:rsidR="000046ED" w:rsidRDefault="000046E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0046ED" w:rsidRPr="00F640E1" w:rsidRDefault="000046ED" w:rsidP="006A0D13">
      <w:pPr>
        <w:pStyle w:val="BodyTextIndent"/>
        <w:spacing w:before="0"/>
        <w:ind w:left="0"/>
      </w:pPr>
      <w:r w:rsidRPr="006F495B">
        <w:rPr>
          <w:b/>
          <w:bCs/>
        </w:rPr>
        <w:t>11.1. Toxi</w:t>
      </w:r>
      <w:r>
        <w:rPr>
          <w:b/>
          <w:bCs/>
        </w:rPr>
        <w:t>kológiai hatásokra vonatkozó információk</w:t>
      </w:r>
      <w:r w:rsidRPr="006F495B">
        <w:rPr>
          <w:b/>
          <w:bCs/>
        </w:rPr>
        <w:t>:</w:t>
      </w:r>
      <w:r>
        <w:rPr>
          <w:b/>
          <w:bCs/>
        </w:rPr>
        <w:t xml:space="preserve"> </w:t>
      </w:r>
      <w:r>
        <w:t>célzott</w:t>
      </w:r>
      <w:r w:rsidRPr="00F640E1">
        <w:t xml:space="preserve"> toxicitási viz</w:t>
      </w:r>
      <w:r>
        <w:t>s</w:t>
      </w:r>
      <w:r w:rsidRPr="00F640E1">
        <w:t>gálatokat nem végzetek.</w:t>
      </w:r>
      <w:r w:rsidRPr="006A0D13">
        <w:t xml:space="preserve"> </w:t>
      </w:r>
      <w:r>
        <w:t>M</w:t>
      </w:r>
      <w:r w:rsidRPr="00783638">
        <w:t xml:space="preserve">egítélése </w:t>
      </w:r>
      <w:r>
        <w:t>az összetevőkre vonatkozó toxikológiai adatok, osztályozások, koncentrációviszonyok alapján a CLP-rendeletnek megfelelően történt, a termék egészségi veszélyt nem jelent.</w:t>
      </w:r>
    </w:p>
    <w:p w:rsidR="000046ED" w:rsidRDefault="000046ED" w:rsidP="00FD4F82">
      <w:pPr>
        <w:pStyle w:val="BodyTextIndent"/>
        <w:ind w:left="0"/>
        <w:rPr>
          <w:b/>
          <w:bCs/>
        </w:rPr>
      </w:pPr>
      <w:r>
        <w:rPr>
          <w:b/>
          <w:bCs/>
        </w:rPr>
        <w:t xml:space="preserve">Primer irritációs hatások: </w:t>
      </w:r>
    </w:p>
    <w:p w:rsidR="000046ED" w:rsidRDefault="000046ED" w:rsidP="006A0D13">
      <w:pPr>
        <w:pStyle w:val="BodyTextIndent"/>
        <w:spacing w:before="0"/>
        <w:ind w:left="0" w:firstLine="426"/>
        <w:rPr>
          <w:b/>
          <w:bCs/>
        </w:rPr>
      </w:pPr>
      <w:r>
        <w:rPr>
          <w:b/>
          <w:bCs/>
        </w:rPr>
        <w:t xml:space="preserve">Bőr: </w:t>
      </w:r>
      <w:r w:rsidRPr="00FD4F82">
        <w:t>nem irritál</w:t>
      </w:r>
      <w:r>
        <w:t>.</w:t>
      </w:r>
      <w:r w:rsidRPr="00FD4F82">
        <w:t xml:space="preserve"> </w:t>
      </w:r>
      <w:r>
        <w:rPr>
          <w:b/>
          <w:bCs/>
        </w:rPr>
        <w:t xml:space="preserve">Szem: </w:t>
      </w:r>
      <w:r>
        <w:t>irritálhat tartós és többszöri érintkezés esetén.</w:t>
      </w:r>
      <w:r w:rsidRPr="00FD4F82">
        <w:t xml:space="preserve"> </w:t>
      </w:r>
    </w:p>
    <w:p w:rsidR="000046ED" w:rsidRDefault="000046ED" w:rsidP="006A0D13">
      <w:pPr>
        <w:pStyle w:val="BodyTextIndent"/>
        <w:spacing w:before="0"/>
        <w:ind w:left="0" w:firstLine="426"/>
        <w:rPr>
          <w:b/>
          <w:bCs/>
        </w:rPr>
      </w:pPr>
      <w:r>
        <w:rPr>
          <w:b/>
          <w:bCs/>
        </w:rPr>
        <w:t>Szenzibilizáció:</w:t>
      </w:r>
      <w:r w:rsidRPr="00FD4F82">
        <w:t xml:space="preserve"> szenzibilizáló hatás nem ismert.</w:t>
      </w:r>
    </w:p>
    <w:p w:rsidR="000046ED" w:rsidRDefault="000046ED" w:rsidP="00FD4F82">
      <w:pPr>
        <w:pStyle w:val="BodyTextIndent"/>
        <w:ind w:left="0"/>
      </w:pPr>
      <w:r w:rsidRPr="00FD4F82">
        <w:rPr>
          <w:b/>
          <w:bCs/>
        </w:rPr>
        <w:t xml:space="preserve">Toxikokinetika, metabolizmus, eloszlás: </w:t>
      </w:r>
      <w:r>
        <w:t>nem ismert.</w:t>
      </w:r>
    </w:p>
    <w:p w:rsidR="000046ED" w:rsidRDefault="000046ED" w:rsidP="00FD4F82">
      <w:pPr>
        <w:pStyle w:val="BodyTextIndent"/>
        <w:spacing w:before="20"/>
        <w:ind w:left="0"/>
      </w:pPr>
      <w:r w:rsidRPr="00FD4F82">
        <w:rPr>
          <w:b/>
          <w:bCs/>
        </w:rPr>
        <w:t xml:space="preserve">Ismételt dózisú toxicitás: </w:t>
      </w:r>
      <w:r>
        <w:t>nem ismert.</w:t>
      </w:r>
    </w:p>
    <w:p w:rsidR="000046ED" w:rsidRDefault="000046ED" w:rsidP="006A0D13">
      <w:pPr>
        <w:pStyle w:val="BodyTextIndent"/>
        <w:ind w:left="0"/>
        <w:rPr>
          <w:b/>
          <w:bCs/>
        </w:rPr>
      </w:pPr>
      <w:r w:rsidRPr="00FD4F82">
        <w:rPr>
          <w:b/>
          <w:bCs/>
        </w:rPr>
        <w:t>CMR hatások (rákkeltő, mutagén, reprodukciót károsító):</w:t>
      </w:r>
      <w:r>
        <w:t xml:space="preserve"> nem ismert.</w:t>
      </w:r>
      <w:r w:rsidRPr="006A0D13">
        <w:rPr>
          <w:b/>
          <w:bCs/>
        </w:rPr>
        <w:t xml:space="preserve"> </w:t>
      </w:r>
    </w:p>
    <w:p w:rsidR="000046ED" w:rsidRDefault="000046ED" w:rsidP="006A0D13">
      <w:pPr>
        <w:pStyle w:val="BodyTextIndent"/>
        <w:ind w:left="0"/>
      </w:pPr>
      <w:r>
        <w:rPr>
          <w:b/>
          <w:bCs/>
        </w:rPr>
        <w:t xml:space="preserve">További információ: </w:t>
      </w:r>
      <w:r w:rsidRPr="00FD4F82">
        <w:t>előírás- és rendel</w:t>
      </w:r>
      <w:r>
        <w:t>tetésszerű</w:t>
      </w:r>
      <w:r w:rsidRPr="00FD4F82">
        <w:t xml:space="preserve"> használ</w:t>
      </w:r>
      <w:r>
        <w:t xml:space="preserve">at esetén, </w:t>
      </w:r>
      <w:r w:rsidRPr="00FD4F82">
        <w:t>a rendelkezésü</w:t>
      </w:r>
      <w:r>
        <w:t>n</w:t>
      </w:r>
      <w:r w:rsidRPr="00FD4F82">
        <w:t>kre álló információk és tapasztalatok szerint egészségkárosító hatás</w:t>
      </w:r>
      <w:r>
        <w:t xml:space="preserve"> </w:t>
      </w:r>
      <w:r w:rsidRPr="00FD4F82">
        <w:t>veszélyének kockázatával nem kell számolni.</w:t>
      </w:r>
      <w:r>
        <w:t xml:space="preserve"> </w:t>
      </w:r>
    </w:p>
    <w:p w:rsidR="000046ED" w:rsidRDefault="000046E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0046ED" w:rsidRDefault="000046ED" w:rsidP="006A0D13">
      <w:pPr>
        <w:pStyle w:val="BodyTextIndent"/>
        <w:spacing w:before="0"/>
        <w:ind w:left="0"/>
      </w:pPr>
      <w:r>
        <w:rPr>
          <w:b/>
          <w:bCs/>
        </w:rPr>
        <w:t>12.1. Az öko</w:t>
      </w:r>
      <w:r w:rsidRPr="00087B12">
        <w:rPr>
          <w:b/>
          <w:bCs/>
        </w:rPr>
        <w:t>toxikológiai hatásokra vonatkozó információ:</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a termék nem veszélyes a környezetre. </w:t>
      </w:r>
    </w:p>
    <w:p w:rsidR="000046ED" w:rsidRDefault="000046ED" w:rsidP="006A0D13">
      <w:pPr>
        <w:pStyle w:val="BodyTextIndent"/>
        <w:spacing w:before="0"/>
        <w:ind w:left="0"/>
      </w:pPr>
      <w:r w:rsidRPr="001A71E5">
        <w:rPr>
          <w:b/>
          <w:bCs/>
        </w:rPr>
        <w:t>12.</w:t>
      </w:r>
      <w:r>
        <w:rPr>
          <w:b/>
          <w:bCs/>
        </w:rPr>
        <w:t>2</w:t>
      </w:r>
      <w:r w:rsidRPr="001A71E5">
        <w:rPr>
          <w:b/>
          <w:bCs/>
        </w:rPr>
        <w:t>. Perzisztencia és lebonthatóság:</w:t>
      </w:r>
      <w:r>
        <w:rPr>
          <w:b/>
          <w:bCs/>
        </w:rPr>
        <w:t xml:space="preserve"> </w:t>
      </w:r>
      <w:r w:rsidRPr="0012223F">
        <w:t>a</w:t>
      </w:r>
      <w:r w:rsidRPr="00A70C8D">
        <w:t xml:space="preserve"> termékben lévő </w:t>
      </w:r>
      <w:r>
        <w:t xml:space="preserve">egyéb </w:t>
      </w:r>
      <w:r w:rsidRPr="00A70C8D">
        <w:t>felületaktív anyag</w:t>
      </w:r>
      <w:r>
        <w:t>(ok)</w:t>
      </w:r>
      <w:r w:rsidRPr="00A70C8D">
        <w:t xml:space="preserve"> megfelel</w:t>
      </w:r>
      <w:r>
        <w:t xml:space="preserve">(nek) </w:t>
      </w:r>
      <w:r w:rsidRPr="00A70C8D">
        <w:t>a 648/2004/EK rendeletben előírt biológiai lebomlási kritériumoknak. Az ezt alátámasztó adatok mindenkor a tagállamok illetékes szerveinek a rendelkezésére állnak, és közvetlen kérésükre vagy a tisztítószer gyártó kérésére megtekinthetők.</w:t>
      </w:r>
      <w:r>
        <w:t xml:space="preserve"> </w:t>
      </w:r>
    </w:p>
    <w:p w:rsidR="000046ED" w:rsidRDefault="000046ED" w:rsidP="009062AF">
      <w:pPr>
        <w:pStyle w:val="BodyTextIndent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0046ED" w:rsidRDefault="000046ED"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0046ED" w:rsidRDefault="000046ED" w:rsidP="000F0E73">
      <w:pPr>
        <w:pStyle w:val="BodyTextIndent2"/>
        <w:spacing w:before="60"/>
        <w:ind w:left="0"/>
      </w:pPr>
      <w:r w:rsidRPr="0083583D">
        <w:rPr>
          <w:b/>
          <w:bCs/>
        </w:rPr>
        <w:t>12.5. A PBT és vPvB értékelés:</w:t>
      </w:r>
      <w:r>
        <w:t xml:space="preserve"> nem alkalmazható.</w:t>
      </w:r>
    </w:p>
    <w:p w:rsidR="000046ED" w:rsidRPr="001A71E5" w:rsidRDefault="000046ED" w:rsidP="000F0E73">
      <w:pPr>
        <w:pStyle w:val="BodyTextIndent2"/>
        <w:spacing w:before="60"/>
        <w:ind w:left="0"/>
      </w:pPr>
      <w:r>
        <w:rPr>
          <w:b/>
          <w:bCs/>
        </w:rPr>
        <w:t xml:space="preserve">12.6. </w:t>
      </w:r>
      <w:r w:rsidRPr="001A71E5">
        <w:rPr>
          <w:b/>
          <w:bCs/>
        </w:rPr>
        <w:t>Egyéb</w:t>
      </w:r>
      <w:r>
        <w:rPr>
          <w:b/>
          <w:bCs/>
        </w:rPr>
        <w:t xml:space="preserve"> információk: </w:t>
      </w:r>
      <w:r w:rsidRPr="007A6D7B">
        <w:t>nincs adat.</w:t>
      </w:r>
      <w:r w:rsidRPr="001A71E5">
        <w:t xml:space="preserve"> </w:t>
      </w:r>
    </w:p>
    <w:p w:rsidR="000046ED" w:rsidRDefault="000046E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0046ED" w:rsidRDefault="000046ED" w:rsidP="0021620D">
      <w:pPr>
        <w:pStyle w:val="BodyTextIndent"/>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0046ED" w:rsidRDefault="000046ED" w:rsidP="0021620D">
      <w:pPr>
        <w:keepNext/>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13.2. A termék hulladékának besorolása</w:t>
      </w:r>
      <w:r>
        <w:rPr>
          <w:rFonts w:ascii="Tahoma" w:hAnsi="Tahoma" w:cs="Tahoma"/>
          <w:b/>
          <w:bCs/>
          <w:snapToGrid w:val="0"/>
          <w:spacing w:val="-2"/>
        </w:rPr>
        <w:t>/h</w:t>
      </w:r>
      <w:r w:rsidRPr="001F6E55">
        <w:rPr>
          <w:rFonts w:ascii="Tahoma" w:hAnsi="Tahoma" w:cs="Tahoma"/>
          <w:b/>
          <w:bCs/>
          <w:snapToGrid w:val="0"/>
        </w:rPr>
        <w:t xml:space="preserve">ulladékkulcs/EWC-kód: </w:t>
      </w:r>
    </w:p>
    <w:p w:rsidR="000046ED" w:rsidRDefault="000046ED" w:rsidP="00797D23">
      <w:pPr>
        <w:keepNext/>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w:t>
      </w:r>
    </w:p>
    <w:p w:rsidR="000046ED" w:rsidRPr="001F6E55" w:rsidRDefault="000046ED" w:rsidP="0021620D">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0046ED" w:rsidRPr="001F6E55" w:rsidRDefault="000046ED" w:rsidP="0021620D">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0046ED" w:rsidRDefault="000046ED" w:rsidP="0021620D">
      <w:pPr>
        <w:pStyle w:val="BodyTextIndent"/>
        <w:ind w:left="0"/>
      </w:pPr>
      <w:r w:rsidRPr="00AF549D">
        <w:t>A csomagolási hulladékkal kapcsolatos hulladékgazdálkodási tevékenységet a 442/2012. (XII.29.) Kormányrendelet szabályozza.</w:t>
      </w:r>
    </w:p>
    <w:p w:rsidR="000046ED" w:rsidRDefault="000046ED"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0046ED" w:rsidRPr="007E27A7" w:rsidRDefault="000046ED" w:rsidP="007E27A7">
      <w:pPr>
        <w:pStyle w:val="BodyTextIndent"/>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0046ED" w:rsidRDefault="000046E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0046ED" w:rsidRDefault="000046ED" w:rsidP="008E689F">
      <w:pPr>
        <w:pStyle w:val="BodyTextIndent"/>
        <w:ind w:left="0"/>
        <w:rPr>
          <w:b/>
          <w:bCs/>
        </w:rPr>
      </w:pPr>
      <w:r>
        <w:rPr>
          <w:b/>
          <w:bCs/>
        </w:rPr>
        <w:t>15.1. A keverékkel kapcsolatos biztonsági, egészségügyi és környezetvédelmi előírások/jogszabályok</w:t>
      </w:r>
    </w:p>
    <w:p w:rsidR="000046ED" w:rsidRDefault="000046ED" w:rsidP="007E27A7">
      <w:pPr>
        <w:pStyle w:val="BodyTextIndent"/>
        <w:keepNext/>
        <w:widowControl w:val="0"/>
        <w:spacing w:before="80"/>
        <w:ind w:left="0"/>
        <w:rPr>
          <w:b/>
          <w:bCs/>
        </w:rPr>
      </w:pPr>
      <w:r>
        <w:rPr>
          <w:b/>
          <w:bCs/>
        </w:rPr>
        <w:t>Vonatkozó közösségi joganyagok</w:t>
      </w:r>
    </w:p>
    <w:p w:rsidR="000046ED" w:rsidRPr="00A229DB" w:rsidRDefault="000046ED" w:rsidP="009F1846">
      <w:pPr>
        <w:pStyle w:val="BodyTextIndent"/>
        <w:spacing w:before="0"/>
        <w:ind w:left="0"/>
      </w:pPr>
      <w:r w:rsidRPr="00A229DB">
        <w:t>REACH rendelet</w:t>
      </w:r>
      <w:r>
        <w:t xml:space="preserve">: </w:t>
      </w:r>
      <w:r w:rsidRPr="00A229DB">
        <w:t>1907/2006/EK és módosításai</w:t>
      </w:r>
      <w:r>
        <w:t>;</w:t>
      </w:r>
      <w:r w:rsidRPr="00A229DB">
        <w:t xml:space="preserve"> CLP-rendelet: 1272/2008/EK és módosításai</w:t>
      </w:r>
    </w:p>
    <w:p w:rsidR="000046ED" w:rsidRPr="00A229DB" w:rsidRDefault="000046ED" w:rsidP="009F1846">
      <w:pPr>
        <w:pStyle w:val="BodyTextIndent"/>
        <w:spacing w:before="0"/>
        <w:ind w:left="0"/>
      </w:pPr>
      <w:r>
        <w:t>Tisztítószer-rendelet: 648/2004/EK és módosításai</w:t>
      </w:r>
    </w:p>
    <w:p w:rsidR="000046ED" w:rsidRPr="008D4C21" w:rsidRDefault="000046ED" w:rsidP="007E27A7">
      <w:pPr>
        <w:pStyle w:val="BodyTextIndent"/>
        <w:keepNext/>
        <w:widowControl w:val="0"/>
        <w:spacing w:before="80"/>
        <w:ind w:left="0"/>
        <w:rPr>
          <w:b/>
          <w:bCs/>
        </w:rPr>
      </w:pPr>
      <w:r w:rsidRPr="008D4C21">
        <w:rPr>
          <w:b/>
          <w:bCs/>
        </w:rPr>
        <w:t>Vonatkozó nemzeti joganyagok</w:t>
      </w:r>
    </w:p>
    <w:p w:rsidR="000046ED" w:rsidRPr="00CA61B2" w:rsidRDefault="000046ED" w:rsidP="007E27A7">
      <w:pPr>
        <w:pStyle w:val="BodyTextIndent"/>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0046ED" w:rsidRPr="008D4C21" w:rsidRDefault="000046ED" w:rsidP="007E27A7">
      <w:pPr>
        <w:pStyle w:val="BodyTextIndent"/>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0046ED" w:rsidRPr="008D4C21" w:rsidRDefault="000046ED" w:rsidP="008E689F">
      <w:pPr>
        <w:pStyle w:val="BodyTextIndent"/>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0046ED" w:rsidRPr="008D4C21" w:rsidRDefault="000046ED" w:rsidP="007E27A7">
      <w:pPr>
        <w:pStyle w:val="BodyTextIndent"/>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0046ED" w:rsidRPr="008D4C21" w:rsidRDefault="000046ED" w:rsidP="008E689F">
      <w:pPr>
        <w:pStyle w:val="BodyTextIndent"/>
        <w:spacing w:before="40"/>
        <w:ind w:left="1701" w:hanging="1701"/>
      </w:pPr>
      <w:r w:rsidRPr="008D4C21">
        <w:t>Tűzvédelem:</w:t>
      </w:r>
      <w:r w:rsidRPr="008D4C21">
        <w:tab/>
        <w:t>az 1996. évi XXXI. törvény a tűz elleni védekezésről, a műszaki mentésről és a tűzoltóságról; 28/2011. (IX.9.) BM rendelet</w:t>
      </w:r>
    </w:p>
    <w:p w:rsidR="000046ED" w:rsidRPr="00CA61B2" w:rsidRDefault="000046ED" w:rsidP="008E689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0046ED" w:rsidRDefault="000046ED"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0046ED" w:rsidRDefault="000046ED" w:rsidP="004E55EB">
      <w:pPr>
        <w:pStyle w:val="BodyTextIndent"/>
        <w:spacing w:before="0"/>
        <w:ind w:left="0"/>
      </w:pPr>
      <w:r w:rsidRPr="00EC0BAC">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0046ED" w:rsidRDefault="000046ED" w:rsidP="004E55EB">
      <w:pPr>
        <w:pStyle w:val="BodyTextIndent"/>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0046ED" w:rsidRDefault="000046ED" w:rsidP="009F1846">
      <w:pPr>
        <w:pStyle w:val="BodyTextIndent"/>
        <w:ind w:left="0"/>
        <w:rPr>
          <w:b/>
          <w:bCs/>
        </w:rPr>
      </w:pPr>
      <w:r>
        <w:rPr>
          <w:b/>
          <w:bCs/>
        </w:rPr>
        <w:t xml:space="preserve">16.1. </w:t>
      </w:r>
      <w:r w:rsidRPr="003C3065">
        <w:rPr>
          <w:b/>
          <w:bCs/>
        </w:rPr>
        <w:t xml:space="preserve">A 3. szakaszában szereplő </w:t>
      </w:r>
      <w:r>
        <w:rPr>
          <w:b/>
          <w:bCs/>
        </w:rPr>
        <w:t>rövidítések és H-</w:t>
      </w:r>
      <w:r w:rsidRPr="003C3065">
        <w:rPr>
          <w:b/>
          <w:bCs/>
        </w:rPr>
        <w:t>mondatok</w:t>
      </w:r>
      <w:r>
        <w:rPr>
          <w:b/>
          <w:bCs/>
        </w:rPr>
        <w:t xml:space="preserve"> szövege</w:t>
      </w:r>
      <w:r w:rsidRPr="003C3065">
        <w:rPr>
          <w:b/>
          <w:bCs/>
        </w:rPr>
        <w:t>:</w:t>
      </w:r>
    </w:p>
    <w:p w:rsidR="000046ED" w:rsidRPr="006B2FFA" w:rsidRDefault="000046ED" w:rsidP="006A0D13">
      <w:pPr>
        <w:tabs>
          <w:tab w:val="left" w:pos="1100"/>
        </w:tabs>
        <w:spacing w:before="120"/>
        <w:jc w:val="both"/>
        <w:rPr>
          <w:rFonts w:ascii="Tahoma" w:hAnsi="Tahoma" w:cs="Tahoma"/>
          <w:snapToGrid w:val="0"/>
        </w:rPr>
      </w:pPr>
      <w:r>
        <w:rPr>
          <w:rFonts w:ascii="Tahoma" w:hAnsi="Tahoma" w:cs="Tahoma"/>
          <w:b/>
          <w:bCs/>
          <w:snapToGrid w:val="0"/>
        </w:rPr>
        <w:t>A CLP v</w:t>
      </w:r>
      <w:r w:rsidRPr="006B2FFA">
        <w:rPr>
          <w:rFonts w:ascii="Tahoma" w:hAnsi="Tahoma" w:cs="Tahoma"/>
          <w:b/>
          <w:bCs/>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0046ED" w:rsidRPr="00706F49" w:rsidRDefault="000046ED" w:rsidP="00292BDA">
      <w:pPr>
        <w:pStyle w:val="BodyTextIndent"/>
        <w:tabs>
          <w:tab w:val="left" w:pos="851"/>
        </w:tabs>
        <w:spacing w:before="0"/>
        <w:ind w:left="0"/>
      </w:pPr>
      <w:r w:rsidRPr="00706F49">
        <w:t>Skin Irrit.: bőrirritáció; Eye Dam.: szemkárosító hatás</w:t>
      </w:r>
    </w:p>
    <w:p w:rsidR="000046ED" w:rsidRPr="001F10D6" w:rsidRDefault="000046ED" w:rsidP="00292BDA">
      <w:pPr>
        <w:pStyle w:val="BodyTextIndent"/>
        <w:tabs>
          <w:tab w:val="left" w:pos="1276"/>
          <w:tab w:val="left" w:pos="1418"/>
        </w:tabs>
        <w:spacing w:before="0"/>
        <w:ind w:left="284" w:firstLine="142"/>
        <w:jc w:val="left"/>
      </w:pPr>
      <w:r w:rsidRPr="001F10D6">
        <w:t>H315</w:t>
      </w:r>
      <w:r w:rsidRPr="001F10D6">
        <w:tab/>
        <w:t>Bőrirritáló hatású.</w:t>
      </w:r>
    </w:p>
    <w:p w:rsidR="000046ED" w:rsidRDefault="000046ED" w:rsidP="00292BDA">
      <w:pPr>
        <w:pStyle w:val="BodyTextIndent"/>
        <w:tabs>
          <w:tab w:val="left" w:pos="1276"/>
          <w:tab w:val="left" w:pos="1418"/>
        </w:tabs>
        <w:spacing w:before="0"/>
        <w:ind w:left="284" w:firstLine="142"/>
        <w:jc w:val="left"/>
      </w:pPr>
      <w:r w:rsidRPr="001F10D6">
        <w:t>H318</w:t>
      </w:r>
      <w:r w:rsidRPr="001F10D6">
        <w:tab/>
        <w:t>Súlyos szemkárosodást okoz.</w:t>
      </w:r>
    </w:p>
    <w:p w:rsidR="000046ED" w:rsidRPr="006553AB" w:rsidRDefault="000046ED" w:rsidP="008E689F">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ezen adatlap a gyártó adatai alapján készült 2015. november 16-án, melyet felülvizsgáltak 2019. május 27-én.</w:t>
      </w:r>
    </w:p>
    <w:sectPr w:rsidR="000046ED" w:rsidRPr="006553AB" w:rsidSect="008056B9">
      <w:headerReference w:type="default" r:id="rId7"/>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6ED" w:rsidRDefault="000046ED">
      <w:r>
        <w:separator/>
      </w:r>
    </w:p>
  </w:endnote>
  <w:endnote w:type="continuationSeparator" w:id="0">
    <w:p w:rsidR="000046ED" w:rsidRDefault="000046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6ED" w:rsidRDefault="000046ED">
      <w:r>
        <w:separator/>
      </w:r>
    </w:p>
  </w:footnote>
  <w:footnote w:type="continuationSeparator" w:id="0">
    <w:p w:rsidR="000046ED" w:rsidRDefault="000046ED">
      <w:r>
        <w:continuationSeparator/>
      </w:r>
    </w:p>
  </w:footnote>
  <w:footnote w:id="1">
    <w:p w:rsidR="000046ED" w:rsidRDefault="000046ED" w:rsidP="00696C6B">
      <w:pPr>
        <w:pStyle w:val="FootnoteText"/>
      </w:pPr>
      <w:r w:rsidRPr="007349D3">
        <w:rPr>
          <w:rStyle w:val="FootnoteReference"/>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2">
    <w:p w:rsidR="000046ED" w:rsidRDefault="000046ED">
      <w:pPr>
        <w:pStyle w:val="FootnoteText"/>
      </w:pPr>
      <w:r w:rsidRPr="008307A1">
        <w:rPr>
          <w:rStyle w:val="FootnoteReference"/>
          <w:rFonts w:ascii="Tahoma" w:hAnsi="Tahoma" w:cs="Tahoma"/>
          <w:sz w:val="16"/>
          <w:szCs w:val="16"/>
        </w:rPr>
        <w:footnoteRef/>
      </w:r>
      <w:r w:rsidRPr="008307A1">
        <w:rPr>
          <w:rFonts w:ascii="Tahoma" w:hAnsi="Tahoma" w:cs="Tahoma"/>
          <w:sz w:val="16"/>
          <w:szCs w:val="16"/>
        </w:rPr>
        <w:t xml:space="preserve"> C</w:t>
      </w:r>
      <w:r w:rsidRPr="008307A1">
        <w:rPr>
          <w:rFonts w:ascii="Tahoma" w:hAnsi="Tahoma" w:cs="Tahoma"/>
          <w:sz w:val="16"/>
          <w:szCs w:val="16"/>
          <w:vertAlign w:val="subscript"/>
        </w:rPr>
        <w:t>n</w:t>
      </w:r>
      <w:r w:rsidRPr="008307A1">
        <w:rPr>
          <w:rFonts w:ascii="Tahoma" w:hAnsi="Tahoma" w:cs="Tahoma"/>
          <w:sz w:val="16"/>
          <w:szCs w:val="16"/>
        </w:rPr>
        <w:t>H</w:t>
      </w:r>
      <w:r w:rsidRPr="008307A1">
        <w:rPr>
          <w:rFonts w:ascii="Tahoma" w:hAnsi="Tahoma" w:cs="Tahoma"/>
          <w:sz w:val="16"/>
          <w:szCs w:val="16"/>
          <w:vertAlign w:val="subscript"/>
        </w:rPr>
        <w:t>2n+1</w:t>
      </w:r>
      <w:r w:rsidRPr="008307A1">
        <w:rPr>
          <w:rFonts w:ascii="Tahoma" w:hAnsi="Tahoma" w:cs="Tahoma"/>
          <w:sz w:val="16"/>
          <w:szCs w:val="16"/>
        </w:rPr>
        <w:t>O(C</w:t>
      </w:r>
      <w:r w:rsidRPr="008307A1">
        <w:rPr>
          <w:rFonts w:ascii="Tahoma" w:hAnsi="Tahoma" w:cs="Tahoma"/>
          <w:sz w:val="16"/>
          <w:szCs w:val="16"/>
          <w:vertAlign w:val="subscript"/>
        </w:rPr>
        <w:t>2</w:t>
      </w:r>
      <w:r w:rsidRPr="008307A1">
        <w:rPr>
          <w:rFonts w:ascii="Tahoma" w:hAnsi="Tahoma" w:cs="Tahoma"/>
          <w:sz w:val="16"/>
          <w:szCs w:val="16"/>
        </w:rPr>
        <w:t>H</w:t>
      </w:r>
      <w:r w:rsidRPr="008307A1">
        <w:rPr>
          <w:rFonts w:ascii="Tahoma" w:hAnsi="Tahoma" w:cs="Tahoma"/>
          <w:sz w:val="16"/>
          <w:szCs w:val="16"/>
          <w:vertAlign w:val="subscript"/>
        </w:rPr>
        <w:t>4</w:t>
      </w:r>
      <w:r w:rsidRPr="008307A1">
        <w:rPr>
          <w:rFonts w:ascii="Tahoma" w:hAnsi="Tahoma" w:cs="Tahoma"/>
          <w:sz w:val="16"/>
          <w:szCs w:val="16"/>
        </w:rPr>
        <w:t>O)</w:t>
      </w:r>
      <w:r w:rsidRPr="008307A1">
        <w:rPr>
          <w:rFonts w:ascii="Tahoma" w:hAnsi="Tahoma" w:cs="Tahoma"/>
          <w:sz w:val="16"/>
          <w:szCs w:val="16"/>
          <w:vertAlign w:val="subscript"/>
        </w:rPr>
        <w:t>m</w:t>
      </w:r>
      <w:r w:rsidRPr="008307A1">
        <w:rPr>
          <w:rFonts w:ascii="Tahoma" w:hAnsi="Tahoma" w:cs="Tahoma"/>
          <w:sz w:val="16"/>
          <w:szCs w:val="16"/>
        </w:rPr>
        <w:t>SO</w:t>
      </w:r>
      <w:r w:rsidRPr="008307A1">
        <w:rPr>
          <w:rFonts w:ascii="Tahoma" w:hAnsi="Tahoma" w:cs="Tahoma"/>
          <w:sz w:val="16"/>
          <w:szCs w:val="16"/>
          <w:vertAlign w:val="subscript"/>
        </w:rPr>
        <w:t>3</w:t>
      </w:r>
      <w:r w:rsidRPr="008307A1">
        <w:rPr>
          <w:rFonts w:ascii="Tahoma" w:hAnsi="Tahoma" w:cs="Tahoma"/>
          <w:sz w:val="16"/>
          <w:szCs w:val="16"/>
        </w:rPr>
        <w:t xml:space="preserve"> Na, alkil (C</w:t>
      </w:r>
      <w:r w:rsidRPr="008307A1">
        <w:rPr>
          <w:rFonts w:ascii="Tahoma" w:hAnsi="Tahoma" w:cs="Tahoma"/>
          <w:sz w:val="16"/>
          <w:szCs w:val="16"/>
          <w:vertAlign w:val="subscript"/>
        </w:rPr>
        <w:t>12-14</w:t>
      </w:r>
      <w:r w:rsidRPr="008307A1">
        <w:rPr>
          <w:rFonts w:ascii="Tahoma" w:hAnsi="Tahoma" w:cs="Tahoma"/>
          <w:sz w:val="16"/>
          <w:szCs w:val="16"/>
        </w:rPr>
        <w:t>)éter-szulfát nátrium sók;</w:t>
      </w:r>
    </w:p>
  </w:footnote>
  <w:footnote w:id="3">
    <w:p w:rsidR="000046ED" w:rsidRDefault="000046ED">
      <w:pPr>
        <w:pStyle w:val="FootnoteText"/>
      </w:pPr>
      <w:r w:rsidRPr="008307A1">
        <w:rPr>
          <w:rStyle w:val="FootnoteReference"/>
          <w:rFonts w:ascii="Tahoma" w:hAnsi="Tahoma" w:cs="Tahoma"/>
          <w:sz w:val="16"/>
          <w:szCs w:val="16"/>
        </w:rPr>
        <w:footnoteRef/>
      </w:r>
      <w:r w:rsidRPr="008307A1">
        <w:rPr>
          <w:rFonts w:ascii="Tahoma" w:hAnsi="Tahoma" w:cs="Tahoma"/>
          <w:sz w:val="16"/>
          <w:szCs w:val="16"/>
        </w:rPr>
        <w:t xml:space="preserve"> C</w:t>
      </w:r>
      <w:r w:rsidRPr="008307A1">
        <w:rPr>
          <w:rFonts w:ascii="Tahoma" w:hAnsi="Tahoma" w:cs="Tahoma"/>
          <w:sz w:val="16"/>
          <w:szCs w:val="16"/>
          <w:vertAlign w:val="subscript"/>
        </w:rPr>
        <w:t>8-18</w:t>
      </w:r>
      <w:r w:rsidRPr="008307A1">
        <w:rPr>
          <w:rFonts w:ascii="Tahoma" w:hAnsi="Tahoma" w:cs="Tahoma"/>
          <w:sz w:val="16"/>
          <w:szCs w:val="16"/>
        </w:rPr>
        <w:t xml:space="preserve"> (páros szénatom-számmal and C18-telítetlen, N, N bisz(hidroxietil) amidok;</w:t>
      </w:r>
    </w:p>
  </w:footnote>
  <w:footnote w:id="4">
    <w:p w:rsidR="000046ED" w:rsidRDefault="000046ED"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5">
    <w:p w:rsidR="000046ED" w:rsidRDefault="000046ED"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NOAEL: No Observable Adverse Effect Level: az a dózisszint melynél káros hatás nem észlelhető</w:t>
      </w:r>
    </w:p>
  </w:footnote>
  <w:footnote w:id="6">
    <w:p w:rsidR="000046ED" w:rsidRDefault="000046ED" w:rsidP="00A75279">
      <w:pPr>
        <w:pStyle w:val="Default"/>
        <w:tabs>
          <w:tab w:val="left" w:pos="2835"/>
        </w:tabs>
        <w:ind w:left="709" w:hanging="709"/>
      </w:pPr>
      <w:r w:rsidRPr="00F36D8C">
        <w:rPr>
          <w:rStyle w:val="FootnoteReference"/>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ED" w:rsidRDefault="000046ED"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TIS mosogatószer – balsam</w:t>
    </w:r>
    <w:r>
      <w:rPr>
        <w:rFonts w:ascii="Tahoma" w:hAnsi="Tahoma" w:cs="Tahoma"/>
        <w:noProof/>
        <w:sz w:val="14"/>
        <w:szCs w:val="14"/>
      </w:rPr>
      <w:tab/>
    </w:r>
  </w:p>
  <w:p w:rsidR="000046ED" w:rsidRDefault="000046ED"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0046ED" w:rsidRDefault="000046ED"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 xml:space="preserve">Kiadva 2015. november 16. </w:t>
    </w:r>
  </w:p>
  <w:p w:rsidR="000046ED" w:rsidRDefault="000046ED"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 xml:space="preserve">Felülvizsgálva: 2019. május 27. </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16"/>
  </w:num>
  <w:num w:numId="30">
    <w:abstractNumId w:val="11"/>
  </w:num>
  <w:num w:numId="31">
    <w:abstractNumId w:val="7"/>
  </w:num>
  <w:num w:numId="32">
    <w:abstractNumId w:val="21"/>
  </w:num>
  <w:num w:numId="33">
    <w:abstractNumId w:val="19"/>
  </w:num>
  <w:num w:numId="34">
    <w:abstractNumId w:val="22"/>
  </w:num>
  <w:num w:numId="35">
    <w:abstractNumId w:val="17"/>
  </w:num>
  <w:num w:numId="36">
    <w:abstractNumId w:val="3"/>
  </w:num>
  <w:num w:numId="37">
    <w:abstractNumId w:val="12"/>
  </w:num>
  <w:num w:numId="38">
    <w:abstractNumId w:val="6"/>
  </w:num>
  <w:num w:numId="39">
    <w:abstractNumId w:val="2"/>
  </w:num>
  <w:num w:numId="40">
    <w:abstractNumId w:val="15"/>
  </w:num>
  <w:num w:numId="41">
    <w:abstractNumId w:val="8"/>
  </w:num>
  <w:num w:numId="42">
    <w:abstractNumId w:val="14"/>
  </w:num>
  <w:num w:numId="43">
    <w:abstractNumId w:val="4"/>
  </w:num>
  <w:num w:numId="44">
    <w:abstractNumId w:val="20"/>
  </w:num>
  <w:num w:numId="45">
    <w:abstractNumId w:val="9"/>
  </w:num>
  <w:num w:numId="46">
    <w:abstractNumId w:val="23"/>
  </w:num>
  <w:num w:numId="47">
    <w:abstractNumId w:val="13"/>
  </w:num>
  <w:num w:numId="48">
    <w:abstractNumId w:val="1"/>
  </w:num>
  <w:num w:numId="49">
    <w:abstractNumId w:val="18"/>
  </w:num>
  <w:num w:numId="50">
    <w:abstractNumId w:val="5"/>
  </w:num>
  <w:num w:numId="5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46ED"/>
    <w:rsid w:val="00006A46"/>
    <w:rsid w:val="0000786A"/>
    <w:rsid w:val="0001175E"/>
    <w:rsid w:val="00011871"/>
    <w:rsid w:val="00012C3A"/>
    <w:rsid w:val="00015697"/>
    <w:rsid w:val="0002079C"/>
    <w:rsid w:val="000267AD"/>
    <w:rsid w:val="00037104"/>
    <w:rsid w:val="000376BB"/>
    <w:rsid w:val="00040A53"/>
    <w:rsid w:val="00052853"/>
    <w:rsid w:val="000545A1"/>
    <w:rsid w:val="00054727"/>
    <w:rsid w:val="00054FA8"/>
    <w:rsid w:val="000568BF"/>
    <w:rsid w:val="00060AEA"/>
    <w:rsid w:val="00077F0C"/>
    <w:rsid w:val="00080769"/>
    <w:rsid w:val="00084965"/>
    <w:rsid w:val="0008511E"/>
    <w:rsid w:val="00087B12"/>
    <w:rsid w:val="00090B0D"/>
    <w:rsid w:val="00097A4E"/>
    <w:rsid w:val="000A03A4"/>
    <w:rsid w:val="000A17CF"/>
    <w:rsid w:val="000A1905"/>
    <w:rsid w:val="000A36D7"/>
    <w:rsid w:val="000B03BD"/>
    <w:rsid w:val="000B35E5"/>
    <w:rsid w:val="000B4537"/>
    <w:rsid w:val="000C1EB0"/>
    <w:rsid w:val="000C4FD4"/>
    <w:rsid w:val="000C570C"/>
    <w:rsid w:val="000C6C21"/>
    <w:rsid w:val="000D0B10"/>
    <w:rsid w:val="000D2BBE"/>
    <w:rsid w:val="000E1DD2"/>
    <w:rsid w:val="000E4A43"/>
    <w:rsid w:val="000E51C7"/>
    <w:rsid w:val="000F0E73"/>
    <w:rsid w:val="00100203"/>
    <w:rsid w:val="001007CD"/>
    <w:rsid w:val="00101AF6"/>
    <w:rsid w:val="00102AFA"/>
    <w:rsid w:val="001040EC"/>
    <w:rsid w:val="001063D0"/>
    <w:rsid w:val="0012223F"/>
    <w:rsid w:val="00123D5E"/>
    <w:rsid w:val="00124467"/>
    <w:rsid w:val="001244DF"/>
    <w:rsid w:val="00125259"/>
    <w:rsid w:val="0013230F"/>
    <w:rsid w:val="0014339B"/>
    <w:rsid w:val="001451C7"/>
    <w:rsid w:val="0015371B"/>
    <w:rsid w:val="001555B4"/>
    <w:rsid w:val="00155BA0"/>
    <w:rsid w:val="00160DFA"/>
    <w:rsid w:val="001610D0"/>
    <w:rsid w:val="00172A90"/>
    <w:rsid w:val="00173BF9"/>
    <w:rsid w:val="00176539"/>
    <w:rsid w:val="00182763"/>
    <w:rsid w:val="0018341F"/>
    <w:rsid w:val="00184F11"/>
    <w:rsid w:val="0018567D"/>
    <w:rsid w:val="001866BA"/>
    <w:rsid w:val="001875AB"/>
    <w:rsid w:val="00196D8C"/>
    <w:rsid w:val="001A2C54"/>
    <w:rsid w:val="001A4626"/>
    <w:rsid w:val="001A6D1E"/>
    <w:rsid w:val="001A71A9"/>
    <w:rsid w:val="001A71E5"/>
    <w:rsid w:val="001B5B76"/>
    <w:rsid w:val="001C5776"/>
    <w:rsid w:val="001C6E3A"/>
    <w:rsid w:val="001C7049"/>
    <w:rsid w:val="001C77FE"/>
    <w:rsid w:val="001D1697"/>
    <w:rsid w:val="001D1A25"/>
    <w:rsid w:val="001E4463"/>
    <w:rsid w:val="001E47CE"/>
    <w:rsid w:val="001E5BCD"/>
    <w:rsid w:val="001F04FA"/>
    <w:rsid w:val="001F10D6"/>
    <w:rsid w:val="001F1F52"/>
    <w:rsid w:val="001F6E55"/>
    <w:rsid w:val="00203533"/>
    <w:rsid w:val="00210D0C"/>
    <w:rsid w:val="00211048"/>
    <w:rsid w:val="0021392C"/>
    <w:rsid w:val="0021620D"/>
    <w:rsid w:val="002232C3"/>
    <w:rsid w:val="00224C5F"/>
    <w:rsid w:val="002316E6"/>
    <w:rsid w:val="00231A35"/>
    <w:rsid w:val="002355E9"/>
    <w:rsid w:val="00235808"/>
    <w:rsid w:val="00242AA8"/>
    <w:rsid w:val="00243E50"/>
    <w:rsid w:val="00247ADA"/>
    <w:rsid w:val="00247F47"/>
    <w:rsid w:val="002566AD"/>
    <w:rsid w:val="00260DEE"/>
    <w:rsid w:val="00262FEC"/>
    <w:rsid w:val="002654A2"/>
    <w:rsid w:val="0027197C"/>
    <w:rsid w:val="00280409"/>
    <w:rsid w:val="00290594"/>
    <w:rsid w:val="00292BDA"/>
    <w:rsid w:val="00293D58"/>
    <w:rsid w:val="00295615"/>
    <w:rsid w:val="002A037D"/>
    <w:rsid w:val="002A09C5"/>
    <w:rsid w:val="002A0F13"/>
    <w:rsid w:val="002A62DD"/>
    <w:rsid w:val="002B06F6"/>
    <w:rsid w:val="002B5B34"/>
    <w:rsid w:val="002B5EB7"/>
    <w:rsid w:val="002B6409"/>
    <w:rsid w:val="002B6BE7"/>
    <w:rsid w:val="002C30D4"/>
    <w:rsid w:val="002C56A6"/>
    <w:rsid w:val="002C577F"/>
    <w:rsid w:val="002C6EA5"/>
    <w:rsid w:val="002D5AFF"/>
    <w:rsid w:val="002E743C"/>
    <w:rsid w:val="002E7A9F"/>
    <w:rsid w:val="00300704"/>
    <w:rsid w:val="00301D81"/>
    <w:rsid w:val="0031268D"/>
    <w:rsid w:val="0031732B"/>
    <w:rsid w:val="00321730"/>
    <w:rsid w:val="00321B45"/>
    <w:rsid w:val="00322095"/>
    <w:rsid w:val="00323E34"/>
    <w:rsid w:val="0033006D"/>
    <w:rsid w:val="003300D2"/>
    <w:rsid w:val="00332A1C"/>
    <w:rsid w:val="00332AD1"/>
    <w:rsid w:val="00333685"/>
    <w:rsid w:val="0033475E"/>
    <w:rsid w:val="00334B0F"/>
    <w:rsid w:val="0034100E"/>
    <w:rsid w:val="003431A0"/>
    <w:rsid w:val="00351516"/>
    <w:rsid w:val="00356E1F"/>
    <w:rsid w:val="003606C6"/>
    <w:rsid w:val="003628FA"/>
    <w:rsid w:val="00376AB8"/>
    <w:rsid w:val="003909CD"/>
    <w:rsid w:val="00390CC2"/>
    <w:rsid w:val="00395922"/>
    <w:rsid w:val="00395CC2"/>
    <w:rsid w:val="00397D60"/>
    <w:rsid w:val="003A0C82"/>
    <w:rsid w:val="003A3F5D"/>
    <w:rsid w:val="003A4954"/>
    <w:rsid w:val="003A49C6"/>
    <w:rsid w:val="003A4E39"/>
    <w:rsid w:val="003A5A19"/>
    <w:rsid w:val="003B0269"/>
    <w:rsid w:val="003B1AF4"/>
    <w:rsid w:val="003B2EA0"/>
    <w:rsid w:val="003B3396"/>
    <w:rsid w:val="003B411C"/>
    <w:rsid w:val="003B52EF"/>
    <w:rsid w:val="003B672B"/>
    <w:rsid w:val="003C2E4E"/>
    <w:rsid w:val="003C3065"/>
    <w:rsid w:val="003C60BD"/>
    <w:rsid w:val="003C64C7"/>
    <w:rsid w:val="003C7EB4"/>
    <w:rsid w:val="003D068E"/>
    <w:rsid w:val="003D0AB7"/>
    <w:rsid w:val="003D40A0"/>
    <w:rsid w:val="003E098F"/>
    <w:rsid w:val="003E47F7"/>
    <w:rsid w:val="003E4CE4"/>
    <w:rsid w:val="003F33A7"/>
    <w:rsid w:val="003F65E3"/>
    <w:rsid w:val="004030FC"/>
    <w:rsid w:val="00404D08"/>
    <w:rsid w:val="00407E71"/>
    <w:rsid w:val="00411257"/>
    <w:rsid w:val="0041139F"/>
    <w:rsid w:val="00411F4F"/>
    <w:rsid w:val="004138B4"/>
    <w:rsid w:val="00414131"/>
    <w:rsid w:val="0041733C"/>
    <w:rsid w:val="004176BF"/>
    <w:rsid w:val="00417B1B"/>
    <w:rsid w:val="004211CD"/>
    <w:rsid w:val="00422E10"/>
    <w:rsid w:val="00423513"/>
    <w:rsid w:val="00423A1B"/>
    <w:rsid w:val="004247F7"/>
    <w:rsid w:val="004258D0"/>
    <w:rsid w:val="00425CBF"/>
    <w:rsid w:val="004264D3"/>
    <w:rsid w:val="00430026"/>
    <w:rsid w:val="00430A8B"/>
    <w:rsid w:val="00431337"/>
    <w:rsid w:val="00431571"/>
    <w:rsid w:val="0043535C"/>
    <w:rsid w:val="004436DB"/>
    <w:rsid w:val="00445A10"/>
    <w:rsid w:val="00445E5C"/>
    <w:rsid w:val="00450553"/>
    <w:rsid w:val="00450733"/>
    <w:rsid w:val="004607C2"/>
    <w:rsid w:val="00461D59"/>
    <w:rsid w:val="0046257E"/>
    <w:rsid w:val="004628C7"/>
    <w:rsid w:val="004628D5"/>
    <w:rsid w:val="00465382"/>
    <w:rsid w:val="00484FCD"/>
    <w:rsid w:val="00487120"/>
    <w:rsid w:val="00495509"/>
    <w:rsid w:val="00495D4F"/>
    <w:rsid w:val="004A0C28"/>
    <w:rsid w:val="004A3E0B"/>
    <w:rsid w:val="004A5315"/>
    <w:rsid w:val="004A6EE7"/>
    <w:rsid w:val="004B13BE"/>
    <w:rsid w:val="004B6090"/>
    <w:rsid w:val="004C1FE7"/>
    <w:rsid w:val="004D3DF8"/>
    <w:rsid w:val="004D430B"/>
    <w:rsid w:val="004D5835"/>
    <w:rsid w:val="004D6BA9"/>
    <w:rsid w:val="004E55EB"/>
    <w:rsid w:val="004E6D88"/>
    <w:rsid w:val="004F1E12"/>
    <w:rsid w:val="004F3AB8"/>
    <w:rsid w:val="004F4C5B"/>
    <w:rsid w:val="004F7EF0"/>
    <w:rsid w:val="00500AD2"/>
    <w:rsid w:val="00500EBB"/>
    <w:rsid w:val="00501707"/>
    <w:rsid w:val="00502A1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30275"/>
    <w:rsid w:val="00546D71"/>
    <w:rsid w:val="0055089F"/>
    <w:rsid w:val="0055205D"/>
    <w:rsid w:val="00562764"/>
    <w:rsid w:val="0056484A"/>
    <w:rsid w:val="00570043"/>
    <w:rsid w:val="0057423A"/>
    <w:rsid w:val="00576D29"/>
    <w:rsid w:val="005818AB"/>
    <w:rsid w:val="0058246F"/>
    <w:rsid w:val="00583F32"/>
    <w:rsid w:val="005840A9"/>
    <w:rsid w:val="00585241"/>
    <w:rsid w:val="005906FB"/>
    <w:rsid w:val="00590BE6"/>
    <w:rsid w:val="0059673E"/>
    <w:rsid w:val="00596E7B"/>
    <w:rsid w:val="005A11A7"/>
    <w:rsid w:val="005A1937"/>
    <w:rsid w:val="005A395F"/>
    <w:rsid w:val="005A453F"/>
    <w:rsid w:val="005C2DC1"/>
    <w:rsid w:val="005C358B"/>
    <w:rsid w:val="005C3AF3"/>
    <w:rsid w:val="005C3B1E"/>
    <w:rsid w:val="005C50EE"/>
    <w:rsid w:val="005D1F10"/>
    <w:rsid w:val="005E6B01"/>
    <w:rsid w:val="005F0A49"/>
    <w:rsid w:val="005F482D"/>
    <w:rsid w:val="005F7860"/>
    <w:rsid w:val="00603B9F"/>
    <w:rsid w:val="00603F74"/>
    <w:rsid w:val="00611589"/>
    <w:rsid w:val="00615561"/>
    <w:rsid w:val="006160C9"/>
    <w:rsid w:val="00616803"/>
    <w:rsid w:val="0062027F"/>
    <w:rsid w:val="00623045"/>
    <w:rsid w:val="00626A8E"/>
    <w:rsid w:val="00630FE0"/>
    <w:rsid w:val="00632BAE"/>
    <w:rsid w:val="00641A4C"/>
    <w:rsid w:val="00642786"/>
    <w:rsid w:val="006508E6"/>
    <w:rsid w:val="00653031"/>
    <w:rsid w:val="006553AB"/>
    <w:rsid w:val="006608A9"/>
    <w:rsid w:val="006608CB"/>
    <w:rsid w:val="006657B2"/>
    <w:rsid w:val="006660B2"/>
    <w:rsid w:val="00670F3E"/>
    <w:rsid w:val="0067132A"/>
    <w:rsid w:val="006727E5"/>
    <w:rsid w:val="00675D5C"/>
    <w:rsid w:val="00680F0F"/>
    <w:rsid w:val="00681260"/>
    <w:rsid w:val="00682C9C"/>
    <w:rsid w:val="00683C91"/>
    <w:rsid w:val="0068681B"/>
    <w:rsid w:val="00696C6B"/>
    <w:rsid w:val="006A0D13"/>
    <w:rsid w:val="006A2F2A"/>
    <w:rsid w:val="006A3E07"/>
    <w:rsid w:val="006B0DCF"/>
    <w:rsid w:val="006B2FFA"/>
    <w:rsid w:val="006B4AF8"/>
    <w:rsid w:val="006B77A6"/>
    <w:rsid w:val="006C022D"/>
    <w:rsid w:val="006C601A"/>
    <w:rsid w:val="006D332E"/>
    <w:rsid w:val="006D393E"/>
    <w:rsid w:val="006D5911"/>
    <w:rsid w:val="006E159B"/>
    <w:rsid w:val="006E7195"/>
    <w:rsid w:val="006F0490"/>
    <w:rsid w:val="006F0D0A"/>
    <w:rsid w:val="006F495B"/>
    <w:rsid w:val="006F5EC4"/>
    <w:rsid w:val="006F6072"/>
    <w:rsid w:val="006F7CDE"/>
    <w:rsid w:val="00700088"/>
    <w:rsid w:val="00706F49"/>
    <w:rsid w:val="00710AEF"/>
    <w:rsid w:val="007127E8"/>
    <w:rsid w:val="0071479E"/>
    <w:rsid w:val="0073012A"/>
    <w:rsid w:val="007311DF"/>
    <w:rsid w:val="00731BE6"/>
    <w:rsid w:val="007349D3"/>
    <w:rsid w:val="00741037"/>
    <w:rsid w:val="00741528"/>
    <w:rsid w:val="00741650"/>
    <w:rsid w:val="00744393"/>
    <w:rsid w:val="0074610E"/>
    <w:rsid w:val="007476A0"/>
    <w:rsid w:val="00747813"/>
    <w:rsid w:val="007507A9"/>
    <w:rsid w:val="0076309D"/>
    <w:rsid w:val="00763ACA"/>
    <w:rsid w:val="00764471"/>
    <w:rsid w:val="0076637C"/>
    <w:rsid w:val="007740E1"/>
    <w:rsid w:val="007777B8"/>
    <w:rsid w:val="00782BFC"/>
    <w:rsid w:val="00783638"/>
    <w:rsid w:val="00783CBE"/>
    <w:rsid w:val="00790F3B"/>
    <w:rsid w:val="00791331"/>
    <w:rsid w:val="007932D3"/>
    <w:rsid w:val="00797D23"/>
    <w:rsid w:val="007A127F"/>
    <w:rsid w:val="007A4FE6"/>
    <w:rsid w:val="007A671F"/>
    <w:rsid w:val="007A6D7B"/>
    <w:rsid w:val="007B2523"/>
    <w:rsid w:val="007B4957"/>
    <w:rsid w:val="007C0E18"/>
    <w:rsid w:val="007C3FA9"/>
    <w:rsid w:val="007C42C0"/>
    <w:rsid w:val="007D23DA"/>
    <w:rsid w:val="007D4273"/>
    <w:rsid w:val="007D44D3"/>
    <w:rsid w:val="007D619B"/>
    <w:rsid w:val="007D7BBA"/>
    <w:rsid w:val="007E27A7"/>
    <w:rsid w:val="007E40C9"/>
    <w:rsid w:val="007E4261"/>
    <w:rsid w:val="007E705C"/>
    <w:rsid w:val="007F0B8B"/>
    <w:rsid w:val="007F4E5E"/>
    <w:rsid w:val="007F5045"/>
    <w:rsid w:val="007F710F"/>
    <w:rsid w:val="008028BD"/>
    <w:rsid w:val="00802D14"/>
    <w:rsid w:val="00803F44"/>
    <w:rsid w:val="008056B9"/>
    <w:rsid w:val="00805755"/>
    <w:rsid w:val="00812AF1"/>
    <w:rsid w:val="00815AEC"/>
    <w:rsid w:val="0081624A"/>
    <w:rsid w:val="00816AE4"/>
    <w:rsid w:val="008200AA"/>
    <w:rsid w:val="00821C2D"/>
    <w:rsid w:val="008251D5"/>
    <w:rsid w:val="00825594"/>
    <w:rsid w:val="00825D1D"/>
    <w:rsid w:val="008307A1"/>
    <w:rsid w:val="00830A55"/>
    <w:rsid w:val="008316F6"/>
    <w:rsid w:val="0083170B"/>
    <w:rsid w:val="0083206B"/>
    <w:rsid w:val="0083583D"/>
    <w:rsid w:val="0084435D"/>
    <w:rsid w:val="00851EA0"/>
    <w:rsid w:val="00855506"/>
    <w:rsid w:val="00856068"/>
    <w:rsid w:val="00857BC3"/>
    <w:rsid w:val="008624A2"/>
    <w:rsid w:val="00865127"/>
    <w:rsid w:val="008661B6"/>
    <w:rsid w:val="00871448"/>
    <w:rsid w:val="00874D02"/>
    <w:rsid w:val="00880685"/>
    <w:rsid w:val="00881F77"/>
    <w:rsid w:val="00882EE5"/>
    <w:rsid w:val="00897F4A"/>
    <w:rsid w:val="008B5418"/>
    <w:rsid w:val="008C12C9"/>
    <w:rsid w:val="008C4891"/>
    <w:rsid w:val="008C7181"/>
    <w:rsid w:val="008D01FE"/>
    <w:rsid w:val="008D4C21"/>
    <w:rsid w:val="008D5244"/>
    <w:rsid w:val="008D6CFF"/>
    <w:rsid w:val="008D7012"/>
    <w:rsid w:val="008E24C3"/>
    <w:rsid w:val="008E689F"/>
    <w:rsid w:val="008F05F6"/>
    <w:rsid w:val="008F2D87"/>
    <w:rsid w:val="008F5DF1"/>
    <w:rsid w:val="008F6CFF"/>
    <w:rsid w:val="008F7B86"/>
    <w:rsid w:val="009062AF"/>
    <w:rsid w:val="00910F0A"/>
    <w:rsid w:val="00911E11"/>
    <w:rsid w:val="00915366"/>
    <w:rsid w:val="00915709"/>
    <w:rsid w:val="009203F2"/>
    <w:rsid w:val="00920DAC"/>
    <w:rsid w:val="00921F86"/>
    <w:rsid w:val="00922096"/>
    <w:rsid w:val="0092572E"/>
    <w:rsid w:val="009264EF"/>
    <w:rsid w:val="009313BB"/>
    <w:rsid w:val="00934700"/>
    <w:rsid w:val="009353BE"/>
    <w:rsid w:val="009363A7"/>
    <w:rsid w:val="009408D8"/>
    <w:rsid w:val="009411E5"/>
    <w:rsid w:val="009415F4"/>
    <w:rsid w:val="009417C1"/>
    <w:rsid w:val="0094486F"/>
    <w:rsid w:val="00947868"/>
    <w:rsid w:val="00954020"/>
    <w:rsid w:val="00954D2F"/>
    <w:rsid w:val="00961AAA"/>
    <w:rsid w:val="0096262D"/>
    <w:rsid w:val="009627F5"/>
    <w:rsid w:val="009646CA"/>
    <w:rsid w:val="00964C6F"/>
    <w:rsid w:val="00965F5E"/>
    <w:rsid w:val="00966D2D"/>
    <w:rsid w:val="00971698"/>
    <w:rsid w:val="00972401"/>
    <w:rsid w:val="009729C6"/>
    <w:rsid w:val="00973588"/>
    <w:rsid w:val="00974C5E"/>
    <w:rsid w:val="0097621E"/>
    <w:rsid w:val="00976B73"/>
    <w:rsid w:val="009849DD"/>
    <w:rsid w:val="00985053"/>
    <w:rsid w:val="00994564"/>
    <w:rsid w:val="00995C93"/>
    <w:rsid w:val="009A1225"/>
    <w:rsid w:val="009A7620"/>
    <w:rsid w:val="009B057A"/>
    <w:rsid w:val="009B197B"/>
    <w:rsid w:val="009B325F"/>
    <w:rsid w:val="009B39F9"/>
    <w:rsid w:val="009B6108"/>
    <w:rsid w:val="009B6461"/>
    <w:rsid w:val="009C004A"/>
    <w:rsid w:val="009C09DF"/>
    <w:rsid w:val="009C1D9A"/>
    <w:rsid w:val="009C70CF"/>
    <w:rsid w:val="009D096A"/>
    <w:rsid w:val="009D39F4"/>
    <w:rsid w:val="009D663D"/>
    <w:rsid w:val="009E174D"/>
    <w:rsid w:val="009E3DFE"/>
    <w:rsid w:val="009E5EDC"/>
    <w:rsid w:val="009F1846"/>
    <w:rsid w:val="00A0044A"/>
    <w:rsid w:val="00A018D0"/>
    <w:rsid w:val="00A111E6"/>
    <w:rsid w:val="00A13058"/>
    <w:rsid w:val="00A15CE7"/>
    <w:rsid w:val="00A20128"/>
    <w:rsid w:val="00A20AF1"/>
    <w:rsid w:val="00A229DB"/>
    <w:rsid w:val="00A254C1"/>
    <w:rsid w:val="00A25544"/>
    <w:rsid w:val="00A31F9B"/>
    <w:rsid w:val="00A371C1"/>
    <w:rsid w:val="00A37543"/>
    <w:rsid w:val="00A401CB"/>
    <w:rsid w:val="00A416E1"/>
    <w:rsid w:val="00A41880"/>
    <w:rsid w:val="00A45E7A"/>
    <w:rsid w:val="00A46CA8"/>
    <w:rsid w:val="00A51C5B"/>
    <w:rsid w:val="00A53D17"/>
    <w:rsid w:val="00A54F27"/>
    <w:rsid w:val="00A57DB9"/>
    <w:rsid w:val="00A64DCE"/>
    <w:rsid w:val="00A66495"/>
    <w:rsid w:val="00A670E4"/>
    <w:rsid w:val="00A70C8D"/>
    <w:rsid w:val="00A734DB"/>
    <w:rsid w:val="00A75279"/>
    <w:rsid w:val="00A7737B"/>
    <w:rsid w:val="00A775F0"/>
    <w:rsid w:val="00A81950"/>
    <w:rsid w:val="00A8502F"/>
    <w:rsid w:val="00A86173"/>
    <w:rsid w:val="00A87712"/>
    <w:rsid w:val="00A9075B"/>
    <w:rsid w:val="00AA0405"/>
    <w:rsid w:val="00AA1742"/>
    <w:rsid w:val="00AA60AB"/>
    <w:rsid w:val="00AB1C5A"/>
    <w:rsid w:val="00AB2586"/>
    <w:rsid w:val="00AB2599"/>
    <w:rsid w:val="00AB3FC0"/>
    <w:rsid w:val="00AC0DC5"/>
    <w:rsid w:val="00AC1515"/>
    <w:rsid w:val="00AC23A3"/>
    <w:rsid w:val="00AC31F8"/>
    <w:rsid w:val="00AC33DA"/>
    <w:rsid w:val="00AC3D92"/>
    <w:rsid w:val="00AC4DF2"/>
    <w:rsid w:val="00AC70B4"/>
    <w:rsid w:val="00AD1532"/>
    <w:rsid w:val="00AD5077"/>
    <w:rsid w:val="00AF4925"/>
    <w:rsid w:val="00AF549D"/>
    <w:rsid w:val="00B0111B"/>
    <w:rsid w:val="00B029F4"/>
    <w:rsid w:val="00B06BA9"/>
    <w:rsid w:val="00B110D7"/>
    <w:rsid w:val="00B11DFE"/>
    <w:rsid w:val="00B15377"/>
    <w:rsid w:val="00B158D1"/>
    <w:rsid w:val="00B17519"/>
    <w:rsid w:val="00B21E1F"/>
    <w:rsid w:val="00B234DF"/>
    <w:rsid w:val="00B3376E"/>
    <w:rsid w:val="00B4273A"/>
    <w:rsid w:val="00B44C12"/>
    <w:rsid w:val="00B505C3"/>
    <w:rsid w:val="00B51D7D"/>
    <w:rsid w:val="00B56BFA"/>
    <w:rsid w:val="00B63F21"/>
    <w:rsid w:val="00B66FC3"/>
    <w:rsid w:val="00B7051B"/>
    <w:rsid w:val="00B70A1E"/>
    <w:rsid w:val="00B72056"/>
    <w:rsid w:val="00B75D40"/>
    <w:rsid w:val="00B76F0E"/>
    <w:rsid w:val="00B83DED"/>
    <w:rsid w:val="00B860FC"/>
    <w:rsid w:val="00B87D00"/>
    <w:rsid w:val="00B91287"/>
    <w:rsid w:val="00B93D1D"/>
    <w:rsid w:val="00B96918"/>
    <w:rsid w:val="00BA466D"/>
    <w:rsid w:val="00BA658E"/>
    <w:rsid w:val="00BB27A1"/>
    <w:rsid w:val="00BB384B"/>
    <w:rsid w:val="00BB54E4"/>
    <w:rsid w:val="00BB6162"/>
    <w:rsid w:val="00BB7FA4"/>
    <w:rsid w:val="00BC6500"/>
    <w:rsid w:val="00BD425C"/>
    <w:rsid w:val="00BD5A87"/>
    <w:rsid w:val="00BE081B"/>
    <w:rsid w:val="00BE09B7"/>
    <w:rsid w:val="00BF3606"/>
    <w:rsid w:val="00BF66F4"/>
    <w:rsid w:val="00BF7BA9"/>
    <w:rsid w:val="00C0304E"/>
    <w:rsid w:val="00C04831"/>
    <w:rsid w:val="00C04E08"/>
    <w:rsid w:val="00C05B79"/>
    <w:rsid w:val="00C110D4"/>
    <w:rsid w:val="00C11815"/>
    <w:rsid w:val="00C124FE"/>
    <w:rsid w:val="00C21451"/>
    <w:rsid w:val="00C21464"/>
    <w:rsid w:val="00C21AC3"/>
    <w:rsid w:val="00C23633"/>
    <w:rsid w:val="00C24E0F"/>
    <w:rsid w:val="00C2528D"/>
    <w:rsid w:val="00C27D51"/>
    <w:rsid w:val="00C33384"/>
    <w:rsid w:val="00C33E54"/>
    <w:rsid w:val="00C40BD7"/>
    <w:rsid w:val="00C44FD3"/>
    <w:rsid w:val="00C455CB"/>
    <w:rsid w:val="00C50C6F"/>
    <w:rsid w:val="00C54589"/>
    <w:rsid w:val="00C54B8B"/>
    <w:rsid w:val="00C6520D"/>
    <w:rsid w:val="00C66674"/>
    <w:rsid w:val="00C7218F"/>
    <w:rsid w:val="00C77963"/>
    <w:rsid w:val="00C84C27"/>
    <w:rsid w:val="00C86C3C"/>
    <w:rsid w:val="00C934BE"/>
    <w:rsid w:val="00C9509A"/>
    <w:rsid w:val="00CA2702"/>
    <w:rsid w:val="00CA4144"/>
    <w:rsid w:val="00CA5BA2"/>
    <w:rsid w:val="00CA61B2"/>
    <w:rsid w:val="00CB0228"/>
    <w:rsid w:val="00CB1331"/>
    <w:rsid w:val="00CB20D4"/>
    <w:rsid w:val="00CC1500"/>
    <w:rsid w:val="00CC3606"/>
    <w:rsid w:val="00CD307F"/>
    <w:rsid w:val="00CD38C0"/>
    <w:rsid w:val="00CE305A"/>
    <w:rsid w:val="00CF0210"/>
    <w:rsid w:val="00CF5948"/>
    <w:rsid w:val="00D00FB8"/>
    <w:rsid w:val="00D05604"/>
    <w:rsid w:val="00D06902"/>
    <w:rsid w:val="00D105BC"/>
    <w:rsid w:val="00D11AB8"/>
    <w:rsid w:val="00D11E73"/>
    <w:rsid w:val="00D12575"/>
    <w:rsid w:val="00D12E75"/>
    <w:rsid w:val="00D20C23"/>
    <w:rsid w:val="00D334C4"/>
    <w:rsid w:val="00D3670F"/>
    <w:rsid w:val="00D37B02"/>
    <w:rsid w:val="00D426BC"/>
    <w:rsid w:val="00D42987"/>
    <w:rsid w:val="00D45AD9"/>
    <w:rsid w:val="00D464D8"/>
    <w:rsid w:val="00D46F20"/>
    <w:rsid w:val="00D54A2D"/>
    <w:rsid w:val="00D6058E"/>
    <w:rsid w:val="00D615F3"/>
    <w:rsid w:val="00D67BE9"/>
    <w:rsid w:val="00D71EA9"/>
    <w:rsid w:val="00D80FB5"/>
    <w:rsid w:val="00D84722"/>
    <w:rsid w:val="00D849A1"/>
    <w:rsid w:val="00D86E64"/>
    <w:rsid w:val="00D87FC1"/>
    <w:rsid w:val="00D90626"/>
    <w:rsid w:val="00D97450"/>
    <w:rsid w:val="00DA561D"/>
    <w:rsid w:val="00DB3428"/>
    <w:rsid w:val="00DB5F8A"/>
    <w:rsid w:val="00DB6393"/>
    <w:rsid w:val="00DB641D"/>
    <w:rsid w:val="00DC133E"/>
    <w:rsid w:val="00DD46D4"/>
    <w:rsid w:val="00DD5C0B"/>
    <w:rsid w:val="00DD72A3"/>
    <w:rsid w:val="00DE0A72"/>
    <w:rsid w:val="00DE2E56"/>
    <w:rsid w:val="00DE486D"/>
    <w:rsid w:val="00DE4DB5"/>
    <w:rsid w:val="00DE5CDE"/>
    <w:rsid w:val="00DE5EA9"/>
    <w:rsid w:val="00DF630B"/>
    <w:rsid w:val="00DF6595"/>
    <w:rsid w:val="00E00766"/>
    <w:rsid w:val="00E00A76"/>
    <w:rsid w:val="00E00CCB"/>
    <w:rsid w:val="00E01556"/>
    <w:rsid w:val="00E03749"/>
    <w:rsid w:val="00E07B80"/>
    <w:rsid w:val="00E10085"/>
    <w:rsid w:val="00E10416"/>
    <w:rsid w:val="00E146B2"/>
    <w:rsid w:val="00E21ECB"/>
    <w:rsid w:val="00E22B4C"/>
    <w:rsid w:val="00E315E8"/>
    <w:rsid w:val="00E32D7F"/>
    <w:rsid w:val="00E3448A"/>
    <w:rsid w:val="00E42A31"/>
    <w:rsid w:val="00E43E30"/>
    <w:rsid w:val="00E47017"/>
    <w:rsid w:val="00E50F8F"/>
    <w:rsid w:val="00E54B17"/>
    <w:rsid w:val="00E56AF6"/>
    <w:rsid w:val="00E65A3F"/>
    <w:rsid w:val="00E65D49"/>
    <w:rsid w:val="00E67F4C"/>
    <w:rsid w:val="00E7460B"/>
    <w:rsid w:val="00E80838"/>
    <w:rsid w:val="00E81507"/>
    <w:rsid w:val="00E84E02"/>
    <w:rsid w:val="00E8777E"/>
    <w:rsid w:val="00E878DA"/>
    <w:rsid w:val="00E934D1"/>
    <w:rsid w:val="00E93F74"/>
    <w:rsid w:val="00EA6D18"/>
    <w:rsid w:val="00EA76D7"/>
    <w:rsid w:val="00EA7B2A"/>
    <w:rsid w:val="00EC0BAC"/>
    <w:rsid w:val="00EC65D8"/>
    <w:rsid w:val="00ED050C"/>
    <w:rsid w:val="00ED5636"/>
    <w:rsid w:val="00EE3346"/>
    <w:rsid w:val="00EE4E2A"/>
    <w:rsid w:val="00EE5B9C"/>
    <w:rsid w:val="00EF0C04"/>
    <w:rsid w:val="00EF2D01"/>
    <w:rsid w:val="00F00132"/>
    <w:rsid w:val="00F01545"/>
    <w:rsid w:val="00F12E11"/>
    <w:rsid w:val="00F13D0A"/>
    <w:rsid w:val="00F152B5"/>
    <w:rsid w:val="00F2000B"/>
    <w:rsid w:val="00F20053"/>
    <w:rsid w:val="00F32341"/>
    <w:rsid w:val="00F34282"/>
    <w:rsid w:val="00F36D8C"/>
    <w:rsid w:val="00F421FF"/>
    <w:rsid w:val="00F4323B"/>
    <w:rsid w:val="00F44577"/>
    <w:rsid w:val="00F57C8E"/>
    <w:rsid w:val="00F60EC3"/>
    <w:rsid w:val="00F61E74"/>
    <w:rsid w:val="00F6242D"/>
    <w:rsid w:val="00F640E1"/>
    <w:rsid w:val="00F73C6D"/>
    <w:rsid w:val="00F9588C"/>
    <w:rsid w:val="00F962FE"/>
    <w:rsid w:val="00FA374B"/>
    <w:rsid w:val="00FB0B78"/>
    <w:rsid w:val="00FB624F"/>
    <w:rsid w:val="00FC174C"/>
    <w:rsid w:val="00FC2BDE"/>
    <w:rsid w:val="00FC45D1"/>
    <w:rsid w:val="00FC5EDD"/>
    <w:rsid w:val="00FD4F82"/>
    <w:rsid w:val="00FD57B6"/>
    <w:rsid w:val="00FD7BF2"/>
    <w:rsid w:val="00FD7D82"/>
    <w:rsid w:val="00FE18F7"/>
    <w:rsid w:val="00FE2CC0"/>
    <w:rsid w:val="00FE53CE"/>
    <w:rsid w:val="00FF0214"/>
    <w:rsid w:val="00FF1EFF"/>
    <w:rsid w:val="00FF4F2E"/>
    <w:rsid w:val="00FF7BEB"/>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6</Pages>
  <Words>1862</Words>
  <Characters>12851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7</cp:revision>
  <cp:lastPrinted>2018-06-25T09:47:00Z</cp:lastPrinted>
  <dcterms:created xsi:type="dcterms:W3CDTF">2018-05-29T05:52:00Z</dcterms:created>
  <dcterms:modified xsi:type="dcterms:W3CDTF">2019-06-12T13:41:00Z</dcterms:modified>
</cp:coreProperties>
</file>