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24" w:rsidRDefault="00EF0424"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EF0424" w:rsidRDefault="00EF0424"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EF0424" w:rsidRDefault="00EF04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EF0424" w:rsidRDefault="00EF0424"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t xml:space="preserve"> </w:t>
      </w:r>
      <w:r>
        <w:rPr>
          <w:rFonts w:ascii="Tahoma" w:hAnsi="Tahoma" w:cs="Tahoma"/>
          <w:b/>
          <w:bCs/>
          <w:snapToGrid w:val="0"/>
          <w:sz w:val="28"/>
          <w:szCs w:val="28"/>
        </w:rPr>
        <w:t>TIS mosogatószer – Pomegranate</w:t>
      </w:r>
    </w:p>
    <w:p w:rsidR="00EF0424" w:rsidRDefault="00EF0424"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623045">
        <w:rPr>
          <w:rFonts w:ascii="Tahoma" w:hAnsi="Tahoma" w:cs="Tahoma"/>
          <w:snapToGrid w:val="0"/>
        </w:rPr>
        <w:t>tisztítószer</w:t>
      </w:r>
      <w:r>
        <w:rPr>
          <w:rFonts w:ascii="Tahoma" w:hAnsi="Tahoma" w:cs="Tahoma"/>
          <w:snapToGrid w:val="0"/>
        </w:rPr>
        <w:t>, kézi mosogatás</w:t>
      </w:r>
    </w:p>
    <w:p w:rsidR="00EF0424" w:rsidRPr="00623045" w:rsidRDefault="00EF0424"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EF0424" w:rsidRDefault="00EF0424"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EF0424" w:rsidRPr="0008511E" w:rsidRDefault="00EF0424"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EF0424" w:rsidRPr="0008511E" w:rsidRDefault="00EF0424" w:rsidP="005C50EE">
      <w:pPr>
        <w:tabs>
          <w:tab w:val="left" w:pos="1985"/>
        </w:tabs>
        <w:ind w:left="426"/>
        <w:rPr>
          <w:rFonts w:ascii="Tahoma" w:hAnsi="Tahoma" w:cs="Tahoma"/>
        </w:rPr>
      </w:pPr>
      <w:r w:rsidRPr="0008511E">
        <w:rPr>
          <w:rFonts w:ascii="Tahoma" w:hAnsi="Tahoma" w:cs="Tahoma"/>
        </w:rPr>
        <w:t>H-3333 Terpes, Petőfi út 2 – 4.</w:t>
      </w:r>
    </w:p>
    <w:p w:rsidR="00EF0424" w:rsidRDefault="00EF0424"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EF0424" w:rsidRPr="0008511E" w:rsidRDefault="00EF0424" w:rsidP="005C50EE">
      <w:pPr>
        <w:tabs>
          <w:tab w:val="left" w:pos="1985"/>
        </w:tabs>
        <w:ind w:left="426"/>
        <w:rPr>
          <w:rFonts w:ascii="Tahoma" w:hAnsi="Tahoma" w:cs="Tahoma"/>
        </w:rPr>
      </w:pPr>
      <w:r>
        <w:rPr>
          <w:rFonts w:ascii="Tahoma" w:hAnsi="Tahoma" w:cs="Tahoma"/>
        </w:rPr>
        <w:t>honlap: www.gironde.hu</w:t>
      </w:r>
    </w:p>
    <w:p w:rsidR="00EF0424" w:rsidRDefault="00EF0424"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EF0424" w:rsidRPr="004D5835" w:rsidRDefault="00EF0424"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EF0424" w:rsidRDefault="00EF0424"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EF0424" w:rsidRDefault="00EF0424"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EF0424" w:rsidRDefault="00EF0424"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EF0424" w:rsidRDefault="00EF0424"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EF0424" w:rsidRDefault="00EF0424"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EF0424" w:rsidRDefault="00EF0424"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EF0424" w:rsidRDefault="00EF0424"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EF0424" w:rsidRDefault="00EF0424" w:rsidP="0094486F">
      <w:pPr>
        <w:spacing w:after="4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EF0424" w:rsidRPr="00BD425C" w:rsidRDefault="00EF0424" w:rsidP="007777B8">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EF0424" w:rsidRDefault="00EF0424"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EF0424" w:rsidRPr="0094486F" w:rsidRDefault="00EF0424"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EF0424" w:rsidRDefault="00EF0424"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Pr>
          <w:rFonts w:ascii="Tahoma" w:hAnsi="Tahoma" w:cs="Tahoma"/>
          <w:snapToGrid w:val="0"/>
        </w:rPr>
        <w:t>SZEMBE KERÜLÉS ESETÉN: Több percig tartó óvatos öblítés vízzel</w:t>
      </w:r>
      <w:r w:rsidRPr="0094486F">
        <w:rPr>
          <w:rFonts w:ascii="Tahoma" w:hAnsi="Tahoma" w:cs="Tahoma"/>
          <w:snapToGrid w:val="0"/>
        </w:rPr>
        <w:t xml:space="preserve">. </w:t>
      </w:r>
    </w:p>
    <w:p w:rsidR="00EF0424" w:rsidRDefault="00EF0424"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EF0424" w:rsidRPr="0094486F" w:rsidRDefault="00EF0424"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EF0424" w:rsidRDefault="00EF0424"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p>
    <w:bookmarkEnd w:id="0"/>
    <w:p w:rsidR="00EF0424" w:rsidRPr="00CF5948" w:rsidRDefault="00EF0424"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EF0424" w:rsidRPr="00CF5948" w:rsidRDefault="00EF0424" w:rsidP="00CF0210">
      <w:pPr>
        <w:pStyle w:val="BodyTextIndent"/>
        <w:spacing w:before="40"/>
        <w:ind w:left="0"/>
      </w:pPr>
      <w:r w:rsidRPr="00CF5948">
        <w:rPr>
          <w:b/>
          <w:bCs/>
        </w:rPr>
        <w:t>Fizikai-kémiai veszély:</w:t>
      </w:r>
      <w:r w:rsidRPr="00CF5948">
        <w:t xml:space="preserve"> nem lép fel.</w:t>
      </w:r>
    </w:p>
    <w:p w:rsidR="00EF0424" w:rsidRDefault="00EF0424" w:rsidP="00CF0210">
      <w:pPr>
        <w:pStyle w:val="BodyTextIndent"/>
        <w:spacing w:before="40"/>
        <w:ind w:left="0"/>
      </w:pPr>
      <w:r>
        <w:rPr>
          <w:b/>
          <w:bCs/>
        </w:rPr>
        <w:t>Egészségkárosító veszély:</w:t>
      </w:r>
      <w:r>
        <w:t xml:space="preserve"> szembe jutva irritálhat. </w:t>
      </w:r>
    </w:p>
    <w:p w:rsidR="00EF0424" w:rsidRPr="00C77963" w:rsidRDefault="00EF0424"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EF0424" w:rsidRDefault="00EF0424"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EF0424" w:rsidRDefault="00EF0424"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EF0424" w:rsidRDefault="00EF0424"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EF0424" w:rsidRDefault="00EF0424" w:rsidP="009E5EDC">
      <w:pPr>
        <w:jc w:val="both"/>
        <w:rPr>
          <w:rFonts w:ascii="Tahoma" w:hAnsi="Tahoma" w:cs="Tahoma"/>
          <w:b/>
          <w:bCs/>
          <w:snapToGrid w:val="0"/>
        </w:rPr>
      </w:pPr>
      <w:r w:rsidRPr="0094486F">
        <w:rPr>
          <w:rFonts w:ascii="Tahoma" w:hAnsi="Tahoma" w:cs="Tahoma"/>
          <w:b/>
          <w:bCs/>
          <w:snapToGrid w:val="0"/>
        </w:rPr>
        <w:t xml:space="preserve">Összetétel a 648/2004/EK rendelet szerint: </w:t>
      </w:r>
    </w:p>
    <w:p w:rsidR="00EF0424" w:rsidRDefault="00EF0424" w:rsidP="0094486F">
      <w:pPr>
        <w:spacing w:after="120"/>
        <w:jc w:val="both"/>
        <w:rPr>
          <w:rFonts w:ascii="Tahoma" w:hAnsi="Tahoma" w:cs="Tahoma"/>
          <w:b/>
          <w:bCs/>
          <w:sz w:val="18"/>
          <w:szCs w:val="18"/>
        </w:rPr>
      </w:pPr>
      <w:r>
        <w:rPr>
          <w:rFonts w:ascii="Tahoma" w:hAnsi="Tahoma" w:cs="Tahoma"/>
          <w:snapToGrid w:val="0"/>
        </w:rPr>
        <w:t>&lt;5%: anionos felületaktív anyagok, &lt;5%: nemionos felületaktív anyag, Parfum, Benzyl Alcohol, Colorant (CI 16035)</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EF0424" w:rsidRPr="00501707">
        <w:trPr>
          <w:cantSplit/>
          <w:trHeight w:val="335"/>
          <w:tblHeader/>
          <w:jc w:val="center"/>
        </w:trPr>
        <w:tc>
          <w:tcPr>
            <w:tcW w:w="3828" w:type="dxa"/>
            <w:vAlign w:val="center"/>
          </w:tcPr>
          <w:p w:rsidR="00EF0424" w:rsidRPr="00501707" w:rsidRDefault="00EF0424"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EF0424" w:rsidRPr="00501707" w:rsidRDefault="00EF0424"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EF0424" w:rsidRPr="00501707" w:rsidRDefault="00EF0424"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EF0424" w:rsidRPr="00501707">
        <w:trPr>
          <w:cantSplit/>
          <w:trHeight w:val="946"/>
          <w:jc w:val="center"/>
        </w:trPr>
        <w:tc>
          <w:tcPr>
            <w:tcW w:w="3828" w:type="dxa"/>
            <w:vAlign w:val="center"/>
          </w:tcPr>
          <w:p w:rsidR="00EF0424" w:rsidRPr="003909CD" w:rsidRDefault="00EF0424"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sz w:val="18"/>
                <w:szCs w:val="18"/>
              </w:rPr>
              <w:footnoteReference w:id="2"/>
            </w:r>
          </w:p>
          <w:p w:rsidR="00EF0424" w:rsidRDefault="00EF0424"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EF0424" w:rsidRPr="003909CD" w:rsidRDefault="00EF0424"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EF0424" w:rsidRPr="003909CD" w:rsidRDefault="00EF0424"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&lt;5 </w:t>
            </w:r>
            <w:r w:rsidRPr="003909CD">
              <w:rPr>
                <w:rFonts w:ascii="Tahoma" w:hAnsi="Tahoma" w:cs="Tahoma"/>
                <w:snapToGrid w:val="0"/>
                <w:sz w:val="18"/>
                <w:szCs w:val="18"/>
                <w:lang w:val="en-US"/>
              </w:rPr>
              <w:t>%</w:t>
            </w:r>
          </w:p>
        </w:tc>
        <w:tc>
          <w:tcPr>
            <w:tcW w:w="3740" w:type="dxa"/>
            <w:vAlign w:val="center"/>
          </w:tcPr>
          <w:p w:rsidR="00EF0424" w:rsidRPr="009849DD" w:rsidRDefault="00EF0424"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EF0424" w:rsidRPr="00501707">
        <w:trPr>
          <w:cantSplit/>
          <w:trHeight w:val="831"/>
          <w:jc w:val="center"/>
        </w:trPr>
        <w:tc>
          <w:tcPr>
            <w:tcW w:w="3828" w:type="dxa"/>
            <w:vAlign w:val="center"/>
          </w:tcPr>
          <w:p w:rsidR="00EF0424" w:rsidRPr="003909CD" w:rsidRDefault="00EF0424"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sz w:val="18"/>
                <w:szCs w:val="18"/>
              </w:rPr>
              <w:footnoteReference w:id="3"/>
            </w:r>
          </w:p>
          <w:p w:rsidR="00EF0424" w:rsidRDefault="00EF0424"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EF0424" w:rsidRPr="003909CD" w:rsidRDefault="00EF0424"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EF0424" w:rsidRPr="003909CD" w:rsidRDefault="00EF0424"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EF0424" w:rsidRPr="003909CD" w:rsidRDefault="00EF0424"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EF0424" w:rsidRPr="003909CD" w:rsidRDefault="00EF0424"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EF0424" w:rsidRPr="00407E71" w:rsidRDefault="00EF0424" w:rsidP="00CC1500">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rendelkező anyag, besorolásuk gyártói</w:t>
      </w:r>
    </w:p>
    <w:p w:rsidR="00EF0424" w:rsidRPr="00CC1500" w:rsidRDefault="00EF0424"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EF0424" w:rsidRPr="00CC1500" w:rsidRDefault="00EF0424"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veszélyjelek </w:t>
      </w:r>
      <w:r w:rsidRPr="00CC1500">
        <w:rPr>
          <w:rFonts w:ascii="Tahoma" w:hAnsi="Tahoma" w:cs="Tahoma"/>
          <w:snapToGrid w:val="0"/>
        </w:rPr>
        <w:t>és H-mondatok a tiszta komponensekre vonatkoznak, a termék veszélyesség szerinti besorolását a 2. sz</w:t>
      </w:r>
      <w:r>
        <w:rPr>
          <w:rFonts w:ascii="Tahoma" w:hAnsi="Tahoma" w:cs="Tahoma"/>
          <w:snapToGrid w:val="0"/>
        </w:rPr>
        <w:t>akasz adja meg. A</w:t>
      </w:r>
      <w:r w:rsidRPr="00CC1500">
        <w:rPr>
          <w:rFonts w:ascii="Tahoma" w:hAnsi="Tahoma" w:cs="Tahoma"/>
          <w:snapToGrid w:val="0"/>
        </w:rPr>
        <w:t xml:space="preserve"> H-mondatok teljes szövegét lásd a 16. szakaszban.</w:t>
      </w:r>
    </w:p>
    <w:p w:rsidR="00EF0424" w:rsidRDefault="00EF04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EF0424" w:rsidRPr="005840A9" w:rsidRDefault="00EF0424"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EF0424" w:rsidRPr="005840A9" w:rsidRDefault="00EF0424" w:rsidP="00857BC3">
      <w:pPr>
        <w:pStyle w:val="BodyTextIndent"/>
        <w:spacing w:before="40"/>
        <w:ind w:left="0"/>
        <w:rPr>
          <w:b/>
          <w:bCs/>
        </w:rPr>
      </w:pPr>
      <w:r w:rsidRPr="005840A9">
        <w:rPr>
          <w:b/>
          <w:bCs/>
        </w:rPr>
        <w:t>4.1. Az elsősegély-nyújtási intézkedések ismertetése</w:t>
      </w:r>
    </w:p>
    <w:p w:rsidR="00EF0424" w:rsidRDefault="00EF0424"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EF0424" w:rsidRDefault="00EF0424"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EF0424" w:rsidRPr="001451C7" w:rsidRDefault="00EF0424" w:rsidP="00964C6F">
      <w:pPr>
        <w:pStyle w:val="BodyTextIndent"/>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EF0424" w:rsidRDefault="00EF0424"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EF0424" w:rsidRPr="001C77FE" w:rsidRDefault="00EF0424" w:rsidP="00857BC3">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EF0424" w:rsidRPr="00430026" w:rsidRDefault="00EF0424"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EF0424" w:rsidRDefault="00EF04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EF0424" w:rsidRDefault="00EF0424"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EF0424" w:rsidRPr="0014339B" w:rsidRDefault="00EF0424"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EF0424" w:rsidRDefault="00EF0424"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EF0424" w:rsidRPr="0014339B" w:rsidRDefault="00EF0424"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EF0424" w:rsidRPr="00A254C1" w:rsidRDefault="00EF0424"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EF0424" w:rsidRDefault="00EF04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EF0424" w:rsidRPr="00A37543" w:rsidRDefault="00EF0424"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EF0424" w:rsidRDefault="00EF0424" w:rsidP="00A37543">
      <w:pPr>
        <w:keepNext/>
        <w:spacing w:before="40"/>
        <w:jc w:val="both"/>
        <w:rPr>
          <w:rFonts w:ascii="Tahoma" w:hAnsi="Tahoma" w:cs="Tahoma"/>
          <w:b/>
          <w:bCs/>
          <w:snapToGrid w:val="0"/>
        </w:rPr>
      </w:pPr>
      <w:r>
        <w:rPr>
          <w:rFonts w:ascii="Tahoma" w:hAnsi="Tahoma" w:cs="Tahoma"/>
          <w:b/>
          <w:bCs/>
          <w:snapToGrid w:val="0"/>
        </w:rPr>
        <w:t>6.2. A területi elhatárolás és a szennyezés mentesítés módszerei és anyagai</w:t>
      </w:r>
    </w:p>
    <w:p w:rsidR="00EF0424" w:rsidRDefault="00EF0424"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EF0424" w:rsidRDefault="00EF0424"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EF0424" w:rsidRPr="0014339B" w:rsidRDefault="00EF0424"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EF0424" w:rsidRDefault="00EF0424"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EF0424" w:rsidRPr="000E1DD2" w:rsidRDefault="00EF0424"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EF0424" w:rsidRPr="00293D58" w:rsidRDefault="00EF0424" w:rsidP="00C110D4">
      <w:pPr>
        <w:pStyle w:val="BodyTextIndent"/>
        <w:ind w:left="0"/>
      </w:pPr>
      <w:r w:rsidRPr="008D5244">
        <w:rPr>
          <w:b/>
          <w:bCs/>
        </w:rPr>
        <w:t>Tűz- és robbanásvédelem:</w:t>
      </w:r>
      <w:r w:rsidRPr="008D5244">
        <w:t xml:space="preserve"> speciális intézkedés nem szükséges.</w:t>
      </w:r>
    </w:p>
    <w:p w:rsidR="00EF0424" w:rsidRPr="0014339B" w:rsidRDefault="00EF0424" w:rsidP="00C110D4">
      <w:pPr>
        <w:pStyle w:val="BodyTextIndent"/>
        <w:ind w:left="0"/>
        <w:rPr>
          <w:b/>
          <w:bCs/>
        </w:rPr>
      </w:pPr>
      <w:r w:rsidRPr="0014339B">
        <w:rPr>
          <w:b/>
          <w:bCs/>
        </w:rPr>
        <w:t>7.2. A biztonságos tárolás feltételei, az esetleges összeférhetetlenséggel együtt</w:t>
      </w:r>
    </w:p>
    <w:p w:rsidR="00EF0424" w:rsidRPr="000E1DD2" w:rsidRDefault="00EF0424"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EF0424" w:rsidRPr="0014339B" w:rsidRDefault="00EF0424"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EF0424" w:rsidRDefault="00EF0424"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EF0424" w:rsidRDefault="00EF0424"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EF0424" w:rsidRDefault="00EF0424" w:rsidP="00F36D8C">
      <w:pPr>
        <w:tabs>
          <w:tab w:val="left" w:pos="2835"/>
        </w:tabs>
        <w:spacing w:before="60"/>
        <w:ind w:right="62"/>
        <w:rPr>
          <w:rFonts w:ascii="Tahoma" w:hAnsi="Tahoma" w:cs="Tahoma"/>
          <w:b/>
          <w:bCs/>
        </w:rPr>
      </w:pPr>
      <w:r>
        <w:rPr>
          <w:rFonts w:ascii="Tahoma" w:hAnsi="Tahoma" w:cs="Tahoma"/>
          <w:b/>
          <w:bCs/>
        </w:rPr>
        <w:t>Rendelkezésre álló DNEL</w:t>
      </w:r>
      <w:r>
        <w:rPr>
          <w:rStyle w:val="FootnoteReference"/>
        </w:rPr>
        <w:footnoteReference w:id="4"/>
      </w:r>
      <w:r>
        <w:rPr>
          <w:rFonts w:ascii="Tahoma" w:hAnsi="Tahoma" w:cs="Tahoma"/>
          <w:b/>
          <w:bCs/>
        </w:rPr>
        <w:t xml:space="preserve"> , NOAEL</w:t>
      </w:r>
      <w:r>
        <w:rPr>
          <w:rStyle w:val="FootnoteReference"/>
          <w:color w:val="000000"/>
        </w:rPr>
        <w:footnoteReference w:id="5"/>
      </w:r>
      <w:r>
        <w:rPr>
          <w:rFonts w:ascii="Tahoma" w:hAnsi="Tahoma" w:cs="Tahoma"/>
          <w:color w:val="000000"/>
        </w:rPr>
        <w:t xml:space="preserve"> </w:t>
      </w:r>
      <w:r>
        <w:rPr>
          <w:rFonts w:ascii="Tahoma" w:hAnsi="Tahoma" w:cs="Tahoma"/>
          <w:b/>
          <w:bCs/>
        </w:rPr>
        <w:t>és PNEC</w:t>
      </w:r>
      <w:r>
        <w:rPr>
          <w:rStyle w:val="FootnoteReference"/>
        </w:rPr>
        <w:footnoteReference w:id="6"/>
      </w:r>
      <w:r w:rsidRPr="00583F32">
        <w:rPr>
          <w:rFonts w:ascii="Tahoma" w:hAnsi="Tahoma" w:cs="Tahoma"/>
        </w:rPr>
        <w:t xml:space="preserve"> </w:t>
      </w:r>
      <w:r>
        <w:rPr>
          <w:rFonts w:ascii="Tahoma" w:hAnsi="Tahoma" w:cs="Tahoma"/>
          <w:b/>
          <w:bCs/>
        </w:rPr>
        <w:t xml:space="preserve"> értékek: </w:t>
      </w:r>
    </w:p>
    <w:p w:rsidR="00EF0424" w:rsidRDefault="00EF0424"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EF0424" w:rsidRPr="008D7012" w:rsidRDefault="00EF0424"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átrium-alkil(C</w:t>
      </w:r>
      <w:r w:rsidRPr="008D7012">
        <w:rPr>
          <w:rFonts w:ascii="Tahoma" w:hAnsi="Tahoma" w:cs="Tahoma"/>
          <w:b/>
          <w:bCs/>
          <w:vertAlign w:val="subscript"/>
        </w:rPr>
        <w:t>12-14</w:t>
      </w:r>
      <w:r w:rsidRPr="008D7012">
        <w:rPr>
          <w:rFonts w:ascii="Tahoma" w:hAnsi="Tahoma" w:cs="Tahoma"/>
          <w:b/>
          <w:bCs/>
        </w:rPr>
        <w:t>)-éter-szulfát</w:t>
      </w:r>
    </w:p>
    <w:p w:rsidR="00EF0424" w:rsidRPr="00F36D8C" w:rsidRDefault="00EF0424"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EF0424" w:rsidRPr="00F36D8C" w:rsidRDefault="00EF0424"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EF0424" w:rsidRPr="00F36D8C" w:rsidRDefault="00EF0424"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EF0424" w:rsidRPr="00F36D8C" w:rsidRDefault="00EF0424"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EF0424" w:rsidRPr="00F36D8C" w:rsidRDefault="00EF0424"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EF0424" w:rsidRPr="00583F32" w:rsidRDefault="00EF0424"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EF0424" w:rsidRPr="00583F32" w:rsidRDefault="00EF0424"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EF0424" w:rsidRPr="001E4463" w:rsidRDefault="00EF0424"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EF0424" w:rsidRDefault="00EF0424" w:rsidP="000A36D7">
      <w:pPr>
        <w:pStyle w:val="BodyTextIndent"/>
        <w:spacing w:before="80"/>
        <w:ind w:left="0"/>
        <w:rPr>
          <w:b/>
          <w:bCs/>
        </w:rPr>
      </w:pPr>
      <w:r>
        <w:rPr>
          <w:b/>
          <w:bCs/>
        </w:rPr>
        <w:t>8.3. Személyi védelem</w:t>
      </w:r>
    </w:p>
    <w:p w:rsidR="00EF0424" w:rsidRDefault="00EF0424" w:rsidP="0015371B">
      <w:pPr>
        <w:pStyle w:val="BodyTextIndent"/>
        <w:spacing w:before="0"/>
        <w:ind w:left="0"/>
      </w:pPr>
      <w:r>
        <w:rPr>
          <w:b/>
          <w:bCs/>
        </w:rPr>
        <w:t xml:space="preserve">Műszaki intézkedések: </w:t>
      </w:r>
      <w:r>
        <w:t>nem szükséges.</w:t>
      </w:r>
    </w:p>
    <w:p w:rsidR="00EF0424" w:rsidRDefault="00EF0424" w:rsidP="007E27A7">
      <w:pPr>
        <w:pStyle w:val="BodyTextIndent"/>
        <w:spacing w:before="40"/>
        <w:ind w:left="0"/>
        <w:rPr>
          <w:b/>
          <w:bCs/>
        </w:rPr>
      </w:pPr>
      <w:r>
        <w:rPr>
          <w:b/>
          <w:bCs/>
        </w:rPr>
        <w:t>Higiéniai intézkedések:</w:t>
      </w:r>
    </w:p>
    <w:p w:rsidR="00EF0424" w:rsidRDefault="00EF0424" w:rsidP="00874D02">
      <w:pPr>
        <w:pStyle w:val="BodyTextIndent"/>
        <w:numPr>
          <w:ilvl w:val="0"/>
          <w:numId w:val="42"/>
        </w:numPr>
        <w:spacing w:before="0"/>
        <w:ind w:left="714" w:hanging="357"/>
      </w:pPr>
      <w:r>
        <w:t>Tartsuk távol élelmiszerektől, italoktól és takarmányoktól.</w:t>
      </w:r>
    </w:p>
    <w:p w:rsidR="00EF0424" w:rsidRDefault="00EF0424" w:rsidP="00874D02">
      <w:pPr>
        <w:pStyle w:val="BodyTextIndent"/>
        <w:numPr>
          <w:ilvl w:val="0"/>
          <w:numId w:val="42"/>
        </w:numPr>
        <w:spacing w:before="0"/>
        <w:ind w:left="714" w:hanging="357"/>
      </w:pPr>
      <w:r>
        <w:t>Körültekintő munkával, használattal kerüljük el a termék szembejutását!</w:t>
      </w:r>
    </w:p>
    <w:p w:rsidR="00EF0424" w:rsidRDefault="00EF0424" w:rsidP="00F640E1">
      <w:pPr>
        <w:pStyle w:val="BodyTextIndent"/>
        <w:spacing w:before="80"/>
        <w:ind w:left="0"/>
        <w:rPr>
          <w:b/>
          <w:bCs/>
        </w:rPr>
      </w:pPr>
      <w:r w:rsidRPr="00CA2702">
        <w:rPr>
          <w:b/>
          <w:bCs/>
        </w:rPr>
        <w:t>Személyi védőfelszerelések</w:t>
      </w:r>
      <w:r>
        <w:rPr>
          <w:b/>
          <w:bCs/>
        </w:rPr>
        <w:t xml:space="preserve"> lakossági felhasználás esetén:</w:t>
      </w:r>
    </w:p>
    <w:p w:rsidR="00EF0424" w:rsidRDefault="00EF0424" w:rsidP="00CA2702">
      <w:pPr>
        <w:pStyle w:val="BodyTextIndent"/>
        <w:numPr>
          <w:ilvl w:val="0"/>
          <w:numId w:val="42"/>
        </w:numPr>
        <w:tabs>
          <w:tab w:val="clear" w:pos="1701"/>
        </w:tabs>
        <w:spacing w:before="0"/>
        <w:ind w:left="709"/>
      </w:pPr>
      <w:r w:rsidRPr="00874D02">
        <w:rPr>
          <w:b/>
          <w:bCs/>
        </w:rPr>
        <w:t>Légutak védelme:</w:t>
      </w:r>
      <w:r w:rsidRPr="00874D02">
        <w:t xml:space="preserve"> nem szükséges</w:t>
      </w:r>
      <w:r>
        <w:t>.</w:t>
      </w:r>
    </w:p>
    <w:p w:rsidR="00EF0424" w:rsidRPr="006727E5" w:rsidRDefault="00EF0424" w:rsidP="00A75279">
      <w:pPr>
        <w:pStyle w:val="BodyTextIndent"/>
        <w:numPr>
          <w:ilvl w:val="0"/>
          <w:numId w:val="42"/>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EF0424" w:rsidRPr="00CA2702" w:rsidRDefault="00EF0424" w:rsidP="00A75279">
      <w:pPr>
        <w:pStyle w:val="BodyTextIndent"/>
        <w:numPr>
          <w:ilvl w:val="0"/>
          <w:numId w:val="42"/>
        </w:numPr>
        <w:tabs>
          <w:tab w:val="clear" w:pos="1701"/>
        </w:tabs>
        <w:spacing w:before="40"/>
        <w:ind w:hanging="357"/>
        <w:rPr>
          <w:b/>
          <w:bCs/>
        </w:rPr>
      </w:pPr>
      <w:r>
        <w:rPr>
          <w:b/>
          <w:bCs/>
        </w:rPr>
        <w:t xml:space="preserve">Szemvédelem: </w:t>
      </w:r>
      <w:r>
        <w:t>nem szükséges. Nagy mennyiségek kezelése esetén mentesítéskor szorosan záródó védőszemüveg/védőálarc használata ajánlott.</w:t>
      </w:r>
    </w:p>
    <w:p w:rsidR="00EF0424" w:rsidRPr="000376BB" w:rsidRDefault="00EF0424" w:rsidP="00874D02">
      <w:pPr>
        <w:pStyle w:val="BodyTextIndent"/>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EF0424" w:rsidRDefault="00EF04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EF0424" w:rsidRDefault="00EF0424"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EF0424" w:rsidRDefault="00EF0424"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EF0424" w:rsidRDefault="00EF0424"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EF0424" w:rsidRDefault="00EF0424"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piros</w:t>
      </w:r>
    </w:p>
    <w:p w:rsidR="00EF0424" w:rsidRDefault="00EF0424"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EF0424" w:rsidRPr="00DE2E56" w:rsidRDefault="00EF0424"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EF0424" w:rsidRDefault="00EF0424"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EF0424" w:rsidRDefault="00EF0424"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EF0424" w:rsidRDefault="00EF0424"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EF0424" w:rsidRDefault="00EF0424"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EF0424" w:rsidRDefault="00EF0424"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EF0424" w:rsidRDefault="00EF0424"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EF0424" w:rsidRDefault="00EF0424"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EF0424" w:rsidRDefault="00EF0424"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EF0424" w:rsidRDefault="00EF0424"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EF0424" w:rsidRDefault="00EF0424"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EF0424" w:rsidRDefault="00EF0424"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EF0424" w:rsidRDefault="00EF0424"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EF0424" w:rsidRDefault="00EF0424"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EF0424" w:rsidRDefault="00EF0424"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EF0424" w:rsidRDefault="00EF0424"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EF0424" w:rsidRDefault="00EF0424"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20 sec</w:t>
      </w:r>
    </w:p>
    <w:p w:rsidR="00EF0424" w:rsidRDefault="00EF0424"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EF0424" w:rsidRDefault="00EF0424"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EF0424" w:rsidRDefault="00EF0424"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EF0424" w:rsidRPr="00530275" w:rsidRDefault="00EF0424"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EF0424" w:rsidRPr="00530275" w:rsidRDefault="00EF0424"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EF0424" w:rsidRPr="00D80FB5" w:rsidRDefault="00EF0424"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EF0424" w:rsidRDefault="00EF0424"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EF0424" w:rsidRDefault="00EF0424"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EF0424" w:rsidRPr="00530275" w:rsidRDefault="00EF0424"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EF0424" w:rsidRDefault="00EF04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EF0424" w:rsidRPr="00F640E1" w:rsidRDefault="00EF0424"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t>célzott</w:t>
      </w:r>
      <w:r w:rsidRPr="00F640E1">
        <w:t xml:space="preserve"> toxicitási viz</w:t>
      </w:r>
      <w:r>
        <w:t>s</w:t>
      </w:r>
      <w:r w:rsidRPr="00F640E1">
        <w:t>gálatokat nem végzetek.</w:t>
      </w:r>
      <w:r w:rsidRPr="006A0D13">
        <w:t xml:space="preserve"> </w:t>
      </w:r>
      <w:r>
        <w:t>M</w:t>
      </w:r>
      <w:r w:rsidRPr="00783638">
        <w:t xml:space="preserve">egítélése </w:t>
      </w:r>
      <w:r>
        <w:t>az összetevőkre vonatkozó toxikológiai adatok, osztályozások, koncentrációviszonyok alapján a CLP-rendeletnek megfelelően történt, a termék egészségi veszélyt nem jelent.</w:t>
      </w:r>
    </w:p>
    <w:p w:rsidR="00EF0424" w:rsidRDefault="00EF0424" w:rsidP="00FD4F82">
      <w:pPr>
        <w:pStyle w:val="BodyTextIndent"/>
        <w:ind w:left="0"/>
        <w:rPr>
          <w:b/>
          <w:bCs/>
        </w:rPr>
      </w:pPr>
      <w:r>
        <w:rPr>
          <w:b/>
          <w:bCs/>
        </w:rPr>
        <w:t xml:space="preserve">Primer irritációs hatások: </w:t>
      </w:r>
    </w:p>
    <w:p w:rsidR="00EF0424" w:rsidRDefault="00EF0424" w:rsidP="006A0D13">
      <w:pPr>
        <w:pStyle w:val="BodyTextIndent"/>
        <w:spacing w:before="0"/>
        <w:ind w:left="0" w:firstLine="426"/>
        <w:rPr>
          <w:b/>
          <w:bCs/>
        </w:rPr>
      </w:pPr>
      <w:r>
        <w:rPr>
          <w:b/>
          <w:bCs/>
        </w:rPr>
        <w:t xml:space="preserve">Bőr: </w:t>
      </w:r>
      <w:r w:rsidRPr="00FD4F82">
        <w:t>nem irritál</w:t>
      </w:r>
      <w:r>
        <w:t>.</w:t>
      </w:r>
      <w:r w:rsidRPr="00FD4F82">
        <w:t xml:space="preserve"> </w:t>
      </w:r>
      <w:r>
        <w:rPr>
          <w:b/>
          <w:bCs/>
        </w:rPr>
        <w:t xml:space="preserve">Szem: </w:t>
      </w:r>
      <w:r>
        <w:t>irritálhat tartós és többszöri érintkezés esetén.</w:t>
      </w:r>
      <w:r w:rsidRPr="00FD4F82">
        <w:t xml:space="preserve"> </w:t>
      </w:r>
    </w:p>
    <w:p w:rsidR="00EF0424" w:rsidRDefault="00EF0424" w:rsidP="006A0D13">
      <w:pPr>
        <w:pStyle w:val="BodyTextIndent"/>
        <w:spacing w:before="0"/>
        <w:ind w:left="0" w:firstLine="426"/>
        <w:rPr>
          <w:b/>
          <w:bCs/>
        </w:rPr>
      </w:pPr>
      <w:r>
        <w:rPr>
          <w:b/>
          <w:bCs/>
        </w:rPr>
        <w:t>Szenzibilizáció:</w:t>
      </w:r>
      <w:r w:rsidRPr="00FD4F82">
        <w:t xml:space="preserve"> szenzibilizáló hatás nem ismert.</w:t>
      </w:r>
    </w:p>
    <w:p w:rsidR="00EF0424" w:rsidRDefault="00EF0424" w:rsidP="00FD4F82">
      <w:pPr>
        <w:pStyle w:val="BodyTextIndent"/>
        <w:ind w:left="0"/>
      </w:pPr>
      <w:r w:rsidRPr="00FD4F82">
        <w:rPr>
          <w:b/>
          <w:bCs/>
        </w:rPr>
        <w:t xml:space="preserve">Toxikokinetika, metabolizmus, eloszlás: </w:t>
      </w:r>
      <w:r>
        <w:t>nem ismert.</w:t>
      </w:r>
    </w:p>
    <w:p w:rsidR="00EF0424" w:rsidRDefault="00EF0424" w:rsidP="00FD4F82">
      <w:pPr>
        <w:pStyle w:val="BodyTextIndent"/>
        <w:spacing w:before="20"/>
        <w:ind w:left="0"/>
      </w:pPr>
      <w:r w:rsidRPr="00FD4F82">
        <w:rPr>
          <w:b/>
          <w:bCs/>
        </w:rPr>
        <w:t xml:space="preserve">Ismételt dózisú toxicitás: </w:t>
      </w:r>
      <w:r>
        <w:t>nem ismert.</w:t>
      </w:r>
    </w:p>
    <w:p w:rsidR="00EF0424" w:rsidRDefault="00EF0424"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EF0424" w:rsidRDefault="00EF0424" w:rsidP="006A0D13">
      <w:pPr>
        <w:pStyle w:val="BodyTextIndent"/>
        <w:ind w:left="0"/>
      </w:pPr>
      <w:r>
        <w:rPr>
          <w:b/>
          <w:bCs/>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EF0424" w:rsidRDefault="00EF04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EF0424" w:rsidRDefault="00EF0424"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veszélyes a környezetre. </w:t>
      </w:r>
    </w:p>
    <w:p w:rsidR="00EF0424" w:rsidRDefault="00EF0424"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EF0424" w:rsidRDefault="00EF0424"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EF0424" w:rsidRDefault="00EF0424"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EF0424" w:rsidRDefault="00EF0424" w:rsidP="000F0E73">
      <w:pPr>
        <w:pStyle w:val="BodyTextIndent2"/>
        <w:spacing w:before="60"/>
        <w:ind w:left="0"/>
      </w:pPr>
      <w:r w:rsidRPr="0083583D">
        <w:rPr>
          <w:b/>
          <w:bCs/>
        </w:rPr>
        <w:t>12.5. A PBT és vPvB értékelés:</w:t>
      </w:r>
      <w:r>
        <w:t xml:space="preserve"> nem alkalmazható.</w:t>
      </w:r>
    </w:p>
    <w:p w:rsidR="00EF0424" w:rsidRPr="001A71E5" w:rsidRDefault="00EF0424"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EF0424" w:rsidRDefault="00EF04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EF0424" w:rsidRDefault="00EF0424"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EF0424" w:rsidRDefault="00EF0424" w:rsidP="0021620D">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EF0424" w:rsidRDefault="00EF0424"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EF0424" w:rsidRPr="001F6E55" w:rsidRDefault="00EF0424" w:rsidP="0021620D">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EF0424" w:rsidRPr="001F6E55" w:rsidRDefault="00EF0424"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EF0424" w:rsidRDefault="00EF0424" w:rsidP="0021620D">
      <w:pPr>
        <w:pStyle w:val="BodyTextIndent"/>
        <w:ind w:left="0"/>
      </w:pPr>
      <w:r w:rsidRPr="00AF549D">
        <w:t>A csomagolási hulladékkal kapcsolatos hulladékgazdálkodási tevékenységet a 442/2012. (XII.29.) Kormányrendelet szabályozza.</w:t>
      </w:r>
    </w:p>
    <w:p w:rsidR="00EF0424" w:rsidRDefault="00EF0424"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EF0424" w:rsidRPr="007E27A7" w:rsidRDefault="00EF0424"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EF0424" w:rsidRDefault="00EF04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EF0424" w:rsidRDefault="00EF0424" w:rsidP="008E689F">
      <w:pPr>
        <w:pStyle w:val="BodyTextIndent"/>
        <w:ind w:left="0"/>
        <w:rPr>
          <w:b/>
          <w:bCs/>
        </w:rPr>
      </w:pPr>
      <w:r>
        <w:rPr>
          <w:b/>
          <w:bCs/>
        </w:rPr>
        <w:t>15.1. A keverékkel kapcsolatos biztonsági, egészségügyi és környezetvédelmi előírások/jogszabályok</w:t>
      </w:r>
    </w:p>
    <w:p w:rsidR="00EF0424" w:rsidRDefault="00EF0424" w:rsidP="007E27A7">
      <w:pPr>
        <w:pStyle w:val="BodyTextIndent"/>
        <w:keepNext/>
        <w:widowControl w:val="0"/>
        <w:spacing w:before="80"/>
        <w:ind w:left="0"/>
        <w:rPr>
          <w:b/>
          <w:bCs/>
        </w:rPr>
      </w:pPr>
      <w:r>
        <w:rPr>
          <w:b/>
          <w:bCs/>
        </w:rPr>
        <w:t>Vonatkozó közösségi joganyagok</w:t>
      </w:r>
    </w:p>
    <w:p w:rsidR="00EF0424" w:rsidRPr="00A229DB" w:rsidRDefault="00EF0424"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EF0424" w:rsidRDefault="00EF0424" w:rsidP="0021620D">
      <w:pPr>
        <w:pStyle w:val="BodyTextIndent"/>
        <w:spacing w:before="0"/>
        <w:ind w:left="0"/>
      </w:pPr>
      <w:r>
        <w:t>Tisztítószer-rendelet: 648/2004/EK és módosításai</w:t>
      </w:r>
    </w:p>
    <w:p w:rsidR="00EF0424" w:rsidRPr="008D4C21" w:rsidRDefault="00EF0424" w:rsidP="007E27A7">
      <w:pPr>
        <w:pStyle w:val="BodyTextIndent"/>
        <w:keepNext/>
        <w:widowControl w:val="0"/>
        <w:spacing w:before="80"/>
        <w:ind w:left="0"/>
        <w:rPr>
          <w:b/>
          <w:bCs/>
        </w:rPr>
      </w:pPr>
      <w:r w:rsidRPr="008D4C21">
        <w:rPr>
          <w:b/>
          <w:bCs/>
        </w:rPr>
        <w:t>Vonatkozó nemzeti joganyagok</w:t>
      </w:r>
    </w:p>
    <w:p w:rsidR="00EF0424" w:rsidRPr="00CA61B2" w:rsidRDefault="00EF0424"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EF0424" w:rsidRPr="008D4C21" w:rsidRDefault="00EF0424"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EF0424" w:rsidRPr="008D4C21" w:rsidRDefault="00EF0424"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EF0424" w:rsidRPr="008D4C21" w:rsidRDefault="00EF0424"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EF0424" w:rsidRPr="008D4C21" w:rsidRDefault="00EF0424"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EF0424" w:rsidRPr="00CA61B2" w:rsidRDefault="00EF0424"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EF0424" w:rsidRDefault="00EF042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EF0424" w:rsidRDefault="00EF0424"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EF0424" w:rsidRDefault="00EF0424"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EF0424" w:rsidRDefault="00EF0424" w:rsidP="009F1846">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EF0424" w:rsidRPr="006B2FFA" w:rsidRDefault="00EF0424"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EF0424" w:rsidRDefault="00EF0424" w:rsidP="006A0D13">
      <w:pPr>
        <w:pStyle w:val="BodyTextIndent"/>
        <w:tabs>
          <w:tab w:val="left" w:pos="851"/>
        </w:tabs>
        <w:spacing w:before="0"/>
        <w:ind w:left="0"/>
      </w:pPr>
      <w:r>
        <w:t>Skin Irrit.: bőrirritáció; Eye Dam.: szemkárosító; Acute Tox.: akut toxicitás, orális: szájon át; dermal: bőrön keresztül; Aquatic Chronic: a vízi környezetre veszélyes, hosszú távú veszélyt jelent.</w:t>
      </w:r>
    </w:p>
    <w:p w:rsidR="00EF0424" w:rsidRPr="001F10D6" w:rsidRDefault="00EF0424" w:rsidP="006A0D13">
      <w:pPr>
        <w:pStyle w:val="BodyTextIndent"/>
        <w:tabs>
          <w:tab w:val="clear" w:pos="1701"/>
          <w:tab w:val="left" w:pos="851"/>
          <w:tab w:val="left" w:pos="1276"/>
        </w:tabs>
        <w:spacing w:before="0"/>
        <w:ind w:left="0" w:firstLine="426"/>
      </w:pPr>
      <w:r w:rsidRPr="001F10D6">
        <w:t>H302</w:t>
      </w:r>
      <w:r w:rsidRPr="001F10D6">
        <w:tab/>
        <w:t>Lenyelve ártalmas.</w:t>
      </w:r>
    </w:p>
    <w:p w:rsidR="00EF0424" w:rsidRPr="001F10D6" w:rsidRDefault="00EF0424" w:rsidP="006A0D13">
      <w:pPr>
        <w:pStyle w:val="BodyTextIndent"/>
        <w:tabs>
          <w:tab w:val="left" w:pos="1276"/>
          <w:tab w:val="left" w:pos="1418"/>
        </w:tabs>
        <w:spacing w:before="0"/>
        <w:ind w:left="284" w:firstLine="142"/>
        <w:jc w:val="left"/>
      </w:pPr>
      <w:r w:rsidRPr="001F10D6">
        <w:t>H315</w:t>
      </w:r>
      <w:r w:rsidRPr="001F10D6">
        <w:tab/>
        <w:t>Bőrirritáló hatású.</w:t>
      </w:r>
    </w:p>
    <w:p w:rsidR="00EF0424" w:rsidRPr="001F10D6" w:rsidRDefault="00EF0424" w:rsidP="006A0D13">
      <w:pPr>
        <w:pStyle w:val="BodyTextIndent"/>
        <w:tabs>
          <w:tab w:val="left" w:pos="1276"/>
          <w:tab w:val="left" w:pos="1418"/>
        </w:tabs>
        <w:spacing w:before="0"/>
        <w:ind w:left="284" w:firstLine="142"/>
        <w:jc w:val="left"/>
      </w:pPr>
      <w:r w:rsidRPr="001F10D6">
        <w:t>H312</w:t>
      </w:r>
      <w:r w:rsidRPr="001F10D6">
        <w:tab/>
        <w:t>Bőrrel érintkezve ártalmas.</w:t>
      </w:r>
    </w:p>
    <w:p w:rsidR="00EF0424" w:rsidRPr="001F10D6" w:rsidRDefault="00EF0424" w:rsidP="006A0D13">
      <w:pPr>
        <w:pStyle w:val="BodyTextIndent"/>
        <w:tabs>
          <w:tab w:val="left" w:pos="1276"/>
          <w:tab w:val="left" w:pos="1418"/>
        </w:tabs>
        <w:spacing w:before="0"/>
        <w:ind w:left="284" w:firstLine="142"/>
        <w:jc w:val="left"/>
      </w:pPr>
      <w:r w:rsidRPr="001F10D6">
        <w:t>H318</w:t>
      </w:r>
      <w:r w:rsidRPr="001F10D6">
        <w:tab/>
        <w:t>Súlyos szemkárosodást okoz.</w:t>
      </w:r>
    </w:p>
    <w:p w:rsidR="00EF0424" w:rsidRPr="00EE4E2A" w:rsidRDefault="00EF0424" w:rsidP="006A0D13">
      <w:pPr>
        <w:pStyle w:val="BodyTextIndent"/>
        <w:tabs>
          <w:tab w:val="left" w:pos="1276"/>
          <w:tab w:val="left" w:pos="1418"/>
        </w:tabs>
        <w:spacing w:before="0"/>
        <w:ind w:left="284" w:firstLine="142"/>
        <w:jc w:val="left"/>
      </w:pPr>
      <w:r w:rsidRPr="001F10D6">
        <w:t>H412</w:t>
      </w:r>
      <w:r w:rsidRPr="001F10D6">
        <w:tab/>
        <w:t>Ártalmas a vízi élővilágra, hosszan tartó károsodást okoz.</w:t>
      </w:r>
    </w:p>
    <w:p w:rsidR="00EF0424" w:rsidRPr="006553AB" w:rsidRDefault="00EF0424" w:rsidP="005B32C7">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április 18-án, melyet felülvizsgáltak 2019. május 27-én.</w:t>
      </w:r>
    </w:p>
    <w:p w:rsidR="00EF0424" w:rsidRPr="006553AB" w:rsidRDefault="00EF0424" w:rsidP="008E689F">
      <w:pPr>
        <w:tabs>
          <w:tab w:val="left" w:pos="0"/>
          <w:tab w:val="left" w:pos="1134"/>
        </w:tabs>
        <w:autoSpaceDE w:val="0"/>
        <w:autoSpaceDN w:val="0"/>
        <w:adjustRightInd w:val="0"/>
        <w:spacing w:before="120"/>
        <w:jc w:val="both"/>
        <w:rPr>
          <w:sz w:val="18"/>
          <w:szCs w:val="18"/>
        </w:rPr>
      </w:pPr>
    </w:p>
    <w:sectPr w:rsidR="00EF0424"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424" w:rsidRDefault="00EF0424">
      <w:r>
        <w:separator/>
      </w:r>
    </w:p>
  </w:endnote>
  <w:endnote w:type="continuationSeparator" w:id="0">
    <w:p w:rsidR="00EF0424" w:rsidRDefault="00EF0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424" w:rsidRDefault="00EF0424">
      <w:r>
        <w:separator/>
      </w:r>
    </w:p>
  </w:footnote>
  <w:footnote w:type="continuationSeparator" w:id="0">
    <w:p w:rsidR="00EF0424" w:rsidRDefault="00EF0424">
      <w:r>
        <w:continuationSeparator/>
      </w:r>
    </w:p>
  </w:footnote>
  <w:footnote w:id="1">
    <w:p w:rsidR="00EF0424" w:rsidRDefault="00EF0424"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EF0424" w:rsidRDefault="00EF0424" w:rsidP="005C2DC1">
      <w:pPr>
        <w:pStyle w:val="FootnoteText"/>
      </w:pPr>
      <w:r w:rsidRPr="00E7460B">
        <w:rPr>
          <w:rStyle w:val="FootnoteReference"/>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3">
    <w:p w:rsidR="00EF0424" w:rsidRDefault="00EF0424" w:rsidP="005C2DC1">
      <w:pPr>
        <w:pStyle w:val="FootnoteText"/>
      </w:pPr>
      <w:r w:rsidRPr="00E7460B">
        <w:rPr>
          <w:rStyle w:val="FootnoteReference"/>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4">
    <w:p w:rsidR="00EF0424" w:rsidRDefault="00EF0424"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EF0424" w:rsidRDefault="00EF0424"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EF0424" w:rsidRDefault="00EF0424"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424" w:rsidRDefault="00EF0424"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TIS mosogatószer – pomegranate</w:t>
    </w:r>
    <w:r>
      <w:rPr>
        <w:rFonts w:ascii="Tahoma" w:hAnsi="Tahoma" w:cs="Tahoma"/>
        <w:noProof/>
        <w:sz w:val="14"/>
        <w:szCs w:val="14"/>
      </w:rPr>
      <w:tab/>
    </w:r>
  </w:p>
  <w:p w:rsidR="00EF0424" w:rsidRDefault="00EF0424"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EF0424" w:rsidRDefault="00EF0424"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2015. április 18. </w:t>
    </w:r>
  </w:p>
  <w:p w:rsidR="00EF0424" w:rsidRDefault="00EF0424"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2019. május 27.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6"/>
  </w:num>
  <w:num w:numId="22">
    <w:abstractNumId w:val="11"/>
  </w:num>
  <w:num w:numId="23">
    <w:abstractNumId w:val="7"/>
  </w:num>
  <w:num w:numId="24">
    <w:abstractNumId w:val="21"/>
  </w:num>
  <w:num w:numId="25">
    <w:abstractNumId w:val="19"/>
  </w:num>
  <w:num w:numId="26">
    <w:abstractNumId w:val="22"/>
  </w:num>
  <w:num w:numId="27">
    <w:abstractNumId w:val="17"/>
  </w:num>
  <w:num w:numId="28">
    <w:abstractNumId w:val="3"/>
  </w:num>
  <w:num w:numId="29">
    <w:abstractNumId w:val="12"/>
  </w:num>
  <w:num w:numId="30">
    <w:abstractNumId w:val="6"/>
  </w:num>
  <w:num w:numId="31">
    <w:abstractNumId w:val="2"/>
  </w:num>
  <w:num w:numId="32">
    <w:abstractNumId w:val="15"/>
  </w:num>
  <w:num w:numId="33">
    <w:abstractNumId w:val="8"/>
  </w:num>
  <w:num w:numId="34">
    <w:abstractNumId w:val="14"/>
  </w:num>
  <w:num w:numId="35">
    <w:abstractNumId w:val="4"/>
  </w:num>
  <w:num w:numId="36">
    <w:abstractNumId w:val="20"/>
  </w:num>
  <w:num w:numId="37">
    <w:abstractNumId w:val="9"/>
  </w:num>
  <w:num w:numId="38">
    <w:abstractNumId w:val="23"/>
  </w:num>
  <w:num w:numId="39">
    <w:abstractNumId w:val="13"/>
  </w:num>
  <w:num w:numId="40">
    <w:abstractNumId w:val="1"/>
  </w:num>
  <w:num w:numId="41">
    <w:abstractNumId w:val="18"/>
  </w:num>
  <w:num w:numId="42">
    <w:abstractNumId w:val="5"/>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3D8"/>
    <w:rsid w:val="00011871"/>
    <w:rsid w:val="00012C3A"/>
    <w:rsid w:val="00015697"/>
    <w:rsid w:val="0002079C"/>
    <w:rsid w:val="000267AD"/>
    <w:rsid w:val="00037104"/>
    <w:rsid w:val="000376BB"/>
    <w:rsid w:val="00040A53"/>
    <w:rsid w:val="00052853"/>
    <w:rsid w:val="000545A1"/>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35E5"/>
    <w:rsid w:val="000B4537"/>
    <w:rsid w:val="000C1EB0"/>
    <w:rsid w:val="000C4FD4"/>
    <w:rsid w:val="000C570C"/>
    <w:rsid w:val="000D0B10"/>
    <w:rsid w:val="000D2BBE"/>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0DFA"/>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6E3A"/>
    <w:rsid w:val="001C7049"/>
    <w:rsid w:val="001C77FE"/>
    <w:rsid w:val="001D1A25"/>
    <w:rsid w:val="001E4463"/>
    <w:rsid w:val="001E47CE"/>
    <w:rsid w:val="001E5BCD"/>
    <w:rsid w:val="001F04FA"/>
    <w:rsid w:val="001F10D6"/>
    <w:rsid w:val="001F1F52"/>
    <w:rsid w:val="001F6E55"/>
    <w:rsid w:val="00203533"/>
    <w:rsid w:val="00210D0C"/>
    <w:rsid w:val="00211048"/>
    <w:rsid w:val="0021392C"/>
    <w:rsid w:val="0021620D"/>
    <w:rsid w:val="002232C3"/>
    <w:rsid w:val="002316E6"/>
    <w:rsid w:val="00231A35"/>
    <w:rsid w:val="002355E9"/>
    <w:rsid w:val="00235808"/>
    <w:rsid w:val="00242AA8"/>
    <w:rsid w:val="00243E50"/>
    <w:rsid w:val="00247ADA"/>
    <w:rsid w:val="00247F47"/>
    <w:rsid w:val="002566AD"/>
    <w:rsid w:val="00260DEE"/>
    <w:rsid w:val="00262FEC"/>
    <w:rsid w:val="002654A2"/>
    <w:rsid w:val="00280409"/>
    <w:rsid w:val="00290594"/>
    <w:rsid w:val="00293D58"/>
    <w:rsid w:val="00295615"/>
    <w:rsid w:val="002A037D"/>
    <w:rsid w:val="002A09C5"/>
    <w:rsid w:val="002A0F13"/>
    <w:rsid w:val="002A62DD"/>
    <w:rsid w:val="002B06F6"/>
    <w:rsid w:val="002B5B34"/>
    <w:rsid w:val="002B5EB7"/>
    <w:rsid w:val="002B6409"/>
    <w:rsid w:val="002B6BE7"/>
    <w:rsid w:val="002C30D4"/>
    <w:rsid w:val="002C56A6"/>
    <w:rsid w:val="002C577F"/>
    <w:rsid w:val="002C6EA5"/>
    <w:rsid w:val="002D5AFF"/>
    <w:rsid w:val="002D71EA"/>
    <w:rsid w:val="002E23CC"/>
    <w:rsid w:val="002E743C"/>
    <w:rsid w:val="002E7A9F"/>
    <w:rsid w:val="00301D81"/>
    <w:rsid w:val="0031268D"/>
    <w:rsid w:val="0031732B"/>
    <w:rsid w:val="00322095"/>
    <w:rsid w:val="00323E34"/>
    <w:rsid w:val="0033006D"/>
    <w:rsid w:val="003300D2"/>
    <w:rsid w:val="00332A1C"/>
    <w:rsid w:val="00332AD1"/>
    <w:rsid w:val="00333685"/>
    <w:rsid w:val="00334B0F"/>
    <w:rsid w:val="0034100E"/>
    <w:rsid w:val="003431A0"/>
    <w:rsid w:val="00351516"/>
    <w:rsid w:val="00356E1F"/>
    <w:rsid w:val="003606C6"/>
    <w:rsid w:val="003628FA"/>
    <w:rsid w:val="00374A3F"/>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60BD"/>
    <w:rsid w:val="003C64C7"/>
    <w:rsid w:val="003C7EB4"/>
    <w:rsid w:val="003D068E"/>
    <w:rsid w:val="003D0AB7"/>
    <w:rsid w:val="003D40A0"/>
    <w:rsid w:val="003E098F"/>
    <w:rsid w:val="003E47F7"/>
    <w:rsid w:val="003E4CE4"/>
    <w:rsid w:val="003F33A7"/>
    <w:rsid w:val="003F65E3"/>
    <w:rsid w:val="004030FC"/>
    <w:rsid w:val="00403858"/>
    <w:rsid w:val="00404D08"/>
    <w:rsid w:val="00407E71"/>
    <w:rsid w:val="00411257"/>
    <w:rsid w:val="0041139F"/>
    <w:rsid w:val="004138B4"/>
    <w:rsid w:val="0041733C"/>
    <w:rsid w:val="004176BF"/>
    <w:rsid w:val="00417B1B"/>
    <w:rsid w:val="004211CD"/>
    <w:rsid w:val="00422E10"/>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50733"/>
    <w:rsid w:val="004607C2"/>
    <w:rsid w:val="00461D59"/>
    <w:rsid w:val="0046257E"/>
    <w:rsid w:val="004628C7"/>
    <w:rsid w:val="004628D5"/>
    <w:rsid w:val="00465382"/>
    <w:rsid w:val="00484FCD"/>
    <w:rsid w:val="00487120"/>
    <w:rsid w:val="00495509"/>
    <w:rsid w:val="00495D4F"/>
    <w:rsid w:val="004A0C28"/>
    <w:rsid w:val="004A3E0B"/>
    <w:rsid w:val="004A5315"/>
    <w:rsid w:val="004B13BE"/>
    <w:rsid w:val="004B6090"/>
    <w:rsid w:val="004C1FE7"/>
    <w:rsid w:val="004D3DF8"/>
    <w:rsid w:val="004D430B"/>
    <w:rsid w:val="004D5835"/>
    <w:rsid w:val="004D6BA9"/>
    <w:rsid w:val="004E55EB"/>
    <w:rsid w:val="004E6D88"/>
    <w:rsid w:val="004F1E12"/>
    <w:rsid w:val="004F4C5B"/>
    <w:rsid w:val="004F7EF0"/>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5205D"/>
    <w:rsid w:val="00562764"/>
    <w:rsid w:val="0056484A"/>
    <w:rsid w:val="00570043"/>
    <w:rsid w:val="0057423A"/>
    <w:rsid w:val="005818AB"/>
    <w:rsid w:val="0058246F"/>
    <w:rsid w:val="00583F32"/>
    <w:rsid w:val="005840A9"/>
    <w:rsid w:val="005906FB"/>
    <w:rsid w:val="00590BE6"/>
    <w:rsid w:val="0059673E"/>
    <w:rsid w:val="00596E7B"/>
    <w:rsid w:val="005A11A7"/>
    <w:rsid w:val="005A1937"/>
    <w:rsid w:val="005A395F"/>
    <w:rsid w:val="005A453F"/>
    <w:rsid w:val="005B32C7"/>
    <w:rsid w:val="005C2DC1"/>
    <w:rsid w:val="005C358B"/>
    <w:rsid w:val="005C3AF3"/>
    <w:rsid w:val="005C3B1E"/>
    <w:rsid w:val="005C50EE"/>
    <w:rsid w:val="005C65C8"/>
    <w:rsid w:val="005E6B01"/>
    <w:rsid w:val="005F0A49"/>
    <w:rsid w:val="005F7860"/>
    <w:rsid w:val="00603B9F"/>
    <w:rsid w:val="00603F74"/>
    <w:rsid w:val="00607312"/>
    <w:rsid w:val="00611589"/>
    <w:rsid w:val="00615561"/>
    <w:rsid w:val="006160C9"/>
    <w:rsid w:val="00616803"/>
    <w:rsid w:val="0062027F"/>
    <w:rsid w:val="00623045"/>
    <w:rsid w:val="00626A8E"/>
    <w:rsid w:val="00630FE0"/>
    <w:rsid w:val="00632BAE"/>
    <w:rsid w:val="00641A4C"/>
    <w:rsid w:val="00642786"/>
    <w:rsid w:val="00653031"/>
    <w:rsid w:val="006553AB"/>
    <w:rsid w:val="006608A9"/>
    <w:rsid w:val="006608CB"/>
    <w:rsid w:val="006657B2"/>
    <w:rsid w:val="006660B2"/>
    <w:rsid w:val="00670F3E"/>
    <w:rsid w:val="0067132A"/>
    <w:rsid w:val="006727E5"/>
    <w:rsid w:val="00675D5C"/>
    <w:rsid w:val="00681260"/>
    <w:rsid w:val="00682C9C"/>
    <w:rsid w:val="00683C91"/>
    <w:rsid w:val="0068681B"/>
    <w:rsid w:val="00696C6B"/>
    <w:rsid w:val="006A0D13"/>
    <w:rsid w:val="006A2F2A"/>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1650"/>
    <w:rsid w:val="0074610E"/>
    <w:rsid w:val="007476A0"/>
    <w:rsid w:val="00747813"/>
    <w:rsid w:val="007507A9"/>
    <w:rsid w:val="00757C9D"/>
    <w:rsid w:val="0076309D"/>
    <w:rsid w:val="00763ACA"/>
    <w:rsid w:val="00764471"/>
    <w:rsid w:val="0076637C"/>
    <w:rsid w:val="007740E1"/>
    <w:rsid w:val="007777B8"/>
    <w:rsid w:val="00782BFC"/>
    <w:rsid w:val="00783638"/>
    <w:rsid w:val="00783CBE"/>
    <w:rsid w:val="00790F3B"/>
    <w:rsid w:val="00791331"/>
    <w:rsid w:val="007932D3"/>
    <w:rsid w:val="00797D23"/>
    <w:rsid w:val="007A127F"/>
    <w:rsid w:val="007A145E"/>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B8B"/>
    <w:rsid w:val="007F4030"/>
    <w:rsid w:val="007F4E5E"/>
    <w:rsid w:val="007F5045"/>
    <w:rsid w:val="008028BD"/>
    <w:rsid w:val="00802D14"/>
    <w:rsid w:val="00803F44"/>
    <w:rsid w:val="008056B9"/>
    <w:rsid w:val="00805755"/>
    <w:rsid w:val="00812AF1"/>
    <w:rsid w:val="00815AEC"/>
    <w:rsid w:val="0081624A"/>
    <w:rsid w:val="00816AE4"/>
    <w:rsid w:val="008200AA"/>
    <w:rsid w:val="008251D5"/>
    <w:rsid w:val="00825594"/>
    <w:rsid w:val="00825D1D"/>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3A17"/>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76B73"/>
    <w:rsid w:val="009849DD"/>
    <w:rsid w:val="00994564"/>
    <w:rsid w:val="00995C93"/>
    <w:rsid w:val="009A1225"/>
    <w:rsid w:val="009A7620"/>
    <w:rsid w:val="009B057A"/>
    <w:rsid w:val="009B197B"/>
    <w:rsid w:val="009B325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18D0"/>
    <w:rsid w:val="00A111E6"/>
    <w:rsid w:val="00A13058"/>
    <w:rsid w:val="00A15CE7"/>
    <w:rsid w:val="00A20128"/>
    <w:rsid w:val="00A20AF1"/>
    <w:rsid w:val="00A229DB"/>
    <w:rsid w:val="00A254C1"/>
    <w:rsid w:val="00A25544"/>
    <w:rsid w:val="00A31F9B"/>
    <w:rsid w:val="00A371C1"/>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1950"/>
    <w:rsid w:val="00A8502F"/>
    <w:rsid w:val="00A86173"/>
    <w:rsid w:val="00A87712"/>
    <w:rsid w:val="00A9075B"/>
    <w:rsid w:val="00AA0405"/>
    <w:rsid w:val="00AA1742"/>
    <w:rsid w:val="00AA60AB"/>
    <w:rsid w:val="00AB2586"/>
    <w:rsid w:val="00AB2599"/>
    <w:rsid w:val="00AB3FC0"/>
    <w:rsid w:val="00AC0DC5"/>
    <w:rsid w:val="00AC1515"/>
    <w:rsid w:val="00AC23A3"/>
    <w:rsid w:val="00AC31F8"/>
    <w:rsid w:val="00AC33DA"/>
    <w:rsid w:val="00AC3D92"/>
    <w:rsid w:val="00AC4DF2"/>
    <w:rsid w:val="00AC70B4"/>
    <w:rsid w:val="00AD1532"/>
    <w:rsid w:val="00AD5077"/>
    <w:rsid w:val="00AF4925"/>
    <w:rsid w:val="00AF549D"/>
    <w:rsid w:val="00B0111B"/>
    <w:rsid w:val="00B029F4"/>
    <w:rsid w:val="00B06BA9"/>
    <w:rsid w:val="00B110D7"/>
    <w:rsid w:val="00B11DFE"/>
    <w:rsid w:val="00B15377"/>
    <w:rsid w:val="00B158D1"/>
    <w:rsid w:val="00B17519"/>
    <w:rsid w:val="00B234DF"/>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3D88"/>
    <w:rsid w:val="00CA4144"/>
    <w:rsid w:val="00CA5BA2"/>
    <w:rsid w:val="00CA61B2"/>
    <w:rsid w:val="00CB0228"/>
    <w:rsid w:val="00CB1331"/>
    <w:rsid w:val="00CB20D4"/>
    <w:rsid w:val="00CC1500"/>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334C4"/>
    <w:rsid w:val="00D3670F"/>
    <w:rsid w:val="00D37B02"/>
    <w:rsid w:val="00D409F2"/>
    <w:rsid w:val="00D426BC"/>
    <w:rsid w:val="00D42987"/>
    <w:rsid w:val="00D45AD9"/>
    <w:rsid w:val="00D464D8"/>
    <w:rsid w:val="00D46F20"/>
    <w:rsid w:val="00D54A2D"/>
    <w:rsid w:val="00D6058E"/>
    <w:rsid w:val="00D615F3"/>
    <w:rsid w:val="00D67BE9"/>
    <w:rsid w:val="00D80FB5"/>
    <w:rsid w:val="00D84722"/>
    <w:rsid w:val="00D849A1"/>
    <w:rsid w:val="00D86E64"/>
    <w:rsid w:val="00D87FC1"/>
    <w:rsid w:val="00D90626"/>
    <w:rsid w:val="00D97450"/>
    <w:rsid w:val="00DA561D"/>
    <w:rsid w:val="00DB3428"/>
    <w:rsid w:val="00DB5F8A"/>
    <w:rsid w:val="00DB6393"/>
    <w:rsid w:val="00DB641D"/>
    <w:rsid w:val="00DC133E"/>
    <w:rsid w:val="00DD46D4"/>
    <w:rsid w:val="00DD5C0B"/>
    <w:rsid w:val="00DD72A3"/>
    <w:rsid w:val="00DE0A72"/>
    <w:rsid w:val="00DE2E56"/>
    <w:rsid w:val="00DE486D"/>
    <w:rsid w:val="00DE4DB5"/>
    <w:rsid w:val="00DE5CDE"/>
    <w:rsid w:val="00DE5EA9"/>
    <w:rsid w:val="00DF6595"/>
    <w:rsid w:val="00E00766"/>
    <w:rsid w:val="00E00A76"/>
    <w:rsid w:val="00E00CCB"/>
    <w:rsid w:val="00E03749"/>
    <w:rsid w:val="00E07B80"/>
    <w:rsid w:val="00E10416"/>
    <w:rsid w:val="00E146B2"/>
    <w:rsid w:val="00E21ECB"/>
    <w:rsid w:val="00E22B4C"/>
    <w:rsid w:val="00E315E8"/>
    <w:rsid w:val="00E31638"/>
    <w:rsid w:val="00E3448A"/>
    <w:rsid w:val="00E42A31"/>
    <w:rsid w:val="00E43E30"/>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96B74"/>
    <w:rsid w:val="00EA6D18"/>
    <w:rsid w:val="00EA76D7"/>
    <w:rsid w:val="00EA7B2A"/>
    <w:rsid w:val="00EC0BAC"/>
    <w:rsid w:val="00EC65D8"/>
    <w:rsid w:val="00ED050C"/>
    <w:rsid w:val="00ED5636"/>
    <w:rsid w:val="00EE3346"/>
    <w:rsid w:val="00EE4E2A"/>
    <w:rsid w:val="00EE5B9C"/>
    <w:rsid w:val="00EF0424"/>
    <w:rsid w:val="00EF0C04"/>
    <w:rsid w:val="00EF2D01"/>
    <w:rsid w:val="00F00132"/>
    <w:rsid w:val="00F01545"/>
    <w:rsid w:val="00F12208"/>
    <w:rsid w:val="00F12E11"/>
    <w:rsid w:val="00F13D0A"/>
    <w:rsid w:val="00F152B5"/>
    <w:rsid w:val="00F2000B"/>
    <w:rsid w:val="00F20053"/>
    <w:rsid w:val="00F32341"/>
    <w:rsid w:val="00F34282"/>
    <w:rsid w:val="00F36D8C"/>
    <w:rsid w:val="00F421FF"/>
    <w:rsid w:val="00F4323B"/>
    <w:rsid w:val="00F44577"/>
    <w:rsid w:val="00F57C8E"/>
    <w:rsid w:val="00F60EC3"/>
    <w:rsid w:val="00F61E74"/>
    <w:rsid w:val="00F6242D"/>
    <w:rsid w:val="00F640E1"/>
    <w:rsid w:val="00F73C6D"/>
    <w:rsid w:val="00F9588C"/>
    <w:rsid w:val="00F962FE"/>
    <w:rsid w:val="00FA374B"/>
    <w:rsid w:val="00FB0B78"/>
    <w:rsid w:val="00FB624F"/>
    <w:rsid w:val="00FC174C"/>
    <w:rsid w:val="00FC2BDE"/>
    <w:rsid w:val="00FC45D1"/>
    <w:rsid w:val="00FC5EDD"/>
    <w:rsid w:val="00FC6F4A"/>
    <w:rsid w:val="00FD4F82"/>
    <w:rsid w:val="00FD7BF2"/>
    <w:rsid w:val="00FD7D82"/>
    <w:rsid w:val="00FE2CC0"/>
    <w:rsid w:val="00FE41A4"/>
    <w:rsid w:val="00FE53CE"/>
    <w:rsid w:val="00FF0214"/>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1922</Words>
  <Characters>13263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2013-10-29T20:06:00Z</cp:lastPrinted>
  <dcterms:created xsi:type="dcterms:W3CDTF">2018-06-25T11:34:00Z</dcterms:created>
  <dcterms:modified xsi:type="dcterms:W3CDTF">2019-06-12T13:38:00Z</dcterms:modified>
</cp:coreProperties>
</file>